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jc w:val="right"/>
      </w:pPr>
      <w:r>
        <w:rPr>
          <w:rFonts w:cs="Times New Roman"/>
          <w:b/>
          <w:sz w:val="24"/>
          <w:szCs w:val="24"/>
          <w:lang w:val="kpv-RU"/>
        </w:rPr>
        <w:t>«</w:t>
      </w:r>
      <w:r>
        <w:rPr>
          <w:rFonts w:cs="Times New Roman"/>
          <w:sz w:val="24"/>
          <w:szCs w:val="24"/>
          <w:lang w:val="kpv-RU"/>
        </w:rPr>
        <w:t xml:space="preserve">2013 во вылӧ да 2014 да 2015 воясся </w:t>
      </w:r>
    </w:p>
    <w:p>
      <w:pPr>
        <w:pStyle w:val="style0"/>
        <w:jc w:val="right"/>
      </w:pPr>
      <w:r>
        <w:rPr>
          <w:rFonts w:cs="Times New Roman"/>
          <w:sz w:val="24"/>
          <w:szCs w:val="24"/>
          <w:lang w:val="kpv-RU"/>
        </w:rPr>
        <w:t xml:space="preserve">планӧвӧй кадколаст вылӧ </w:t>
      </w:r>
    </w:p>
    <w:p>
      <w:pPr>
        <w:pStyle w:val="style0"/>
        <w:jc w:val="right"/>
      </w:pPr>
      <w:r>
        <w:rPr>
          <w:rFonts w:cs="Times New Roman"/>
          <w:sz w:val="24"/>
          <w:szCs w:val="24"/>
          <w:lang w:val="kpv-RU"/>
        </w:rPr>
        <w:t xml:space="preserve">Коми Республикаса </w:t>
      </w:r>
    </w:p>
    <w:p>
      <w:pPr>
        <w:pStyle w:val="style0"/>
        <w:jc w:val="right"/>
      </w:pPr>
      <w:r>
        <w:rPr>
          <w:rFonts w:cs="Times New Roman"/>
          <w:sz w:val="24"/>
          <w:szCs w:val="24"/>
          <w:lang w:val="kpv-RU"/>
        </w:rPr>
        <w:t xml:space="preserve">республиканскӧй сьӧмкуд йылысь» </w:t>
      </w:r>
    </w:p>
    <w:p>
      <w:pPr>
        <w:pStyle w:val="style0"/>
        <w:jc w:val="right"/>
      </w:pPr>
      <w:r>
        <w:rPr>
          <w:rFonts w:cs="Times New Roman"/>
          <w:sz w:val="24"/>
          <w:szCs w:val="24"/>
          <w:lang w:val="kpv-RU"/>
        </w:rPr>
        <w:t>Коми Республикаса Оланпасӧ</w:t>
      </w:r>
    </w:p>
    <w:p>
      <w:pPr>
        <w:pStyle w:val="style0"/>
        <w:jc w:val="right"/>
      </w:pPr>
      <w:r>
        <w:rPr>
          <w:rFonts w:cs="Times New Roman"/>
          <w:sz w:val="24"/>
          <w:szCs w:val="24"/>
          <w:lang w:val="kpv-RU"/>
        </w:rPr>
        <w:t xml:space="preserve">вежсьӧмъяс пыртӧм йылысь» </w:t>
      </w:r>
    </w:p>
    <w:p>
      <w:pPr>
        <w:pStyle w:val="style0"/>
        <w:jc w:val="right"/>
      </w:pPr>
      <w:r>
        <w:rPr>
          <w:rFonts w:cs="Times New Roman"/>
          <w:sz w:val="24"/>
          <w:szCs w:val="24"/>
          <w:lang w:val="kpv-RU"/>
        </w:rPr>
        <w:t>Коми Республикаса Оланпас дорӧ</w:t>
      </w:r>
    </w:p>
    <w:p>
      <w:pPr>
        <w:pStyle w:val="style0"/>
        <w:jc w:val="right"/>
      </w:pPr>
      <w:r>
        <w:rPr>
          <w:rFonts w:cs="Times New Roman"/>
          <w:sz w:val="24"/>
          <w:szCs w:val="24"/>
          <w:lang w:val="kpv-RU"/>
        </w:rPr>
        <w:t>15 содтӧд</w:t>
      </w:r>
    </w:p>
    <w:p>
      <w:pPr>
        <w:pStyle w:val="style0"/>
        <w:jc w:val="right"/>
      </w:pPr>
      <w:r>
        <w:rPr/>
      </w:r>
    </w:p>
    <w:p>
      <w:pPr>
        <w:pStyle w:val="style0"/>
        <w:jc w:val="right"/>
      </w:pPr>
      <w:r>
        <w:rPr>
          <w:rFonts w:cs="Times New Roman"/>
          <w:sz w:val="24"/>
          <w:szCs w:val="24"/>
          <w:lang w:val="kpv-RU"/>
        </w:rPr>
        <w:t>«16 содтӧдлӧн 19 таблица</w:t>
      </w:r>
    </w:p>
    <w:p>
      <w:pPr>
        <w:pStyle w:val="style0"/>
        <w:jc w:val="right"/>
      </w:pPr>
      <w:r>
        <w:rPr/>
      </w:r>
    </w:p>
    <w:p>
      <w:pPr>
        <w:pStyle w:val="style0"/>
        <w:ind w:hanging="0" w:left="88" w:right="0"/>
        <w:jc w:val="center"/>
      </w:pPr>
      <w:r>
        <w:rPr>
          <w:color w:val="000000"/>
          <w:sz w:val="24"/>
          <w:szCs w:val="24"/>
          <w:lang w:val="kpv-RU"/>
        </w:rPr>
        <w:t xml:space="preserve">2013 во вылӧ «Оланін ньӧбӧм либӧ стрӧитӧм вылӧ субсидияяс (социальнӧй мынтӧмъяс) босьтӧм вылӧ инӧда Россия Федерацияса гражданалы канму отсӧг сетан юкӧнын Коми Республикаын меставывса асвеськӧдлан органъяслы торъя канму уджмогъяс сетӧм йылысь» Коми Республикаса Оланпас серти оланін ньӧбӧм либӧ стрӧитӧм вылӧ субсидияяс (социальнӧй мынтӧмъяс) босьтӧм вылӧ инӧда Россия Федерацияса гражданалы канму отсӧг сетан юкӧнын сетӧм канму уджмогъяс збыльмӧдӧм вылӧ </w:t>
      </w:r>
      <w:r>
        <w:rPr>
          <w:rFonts w:cs="Times New Roman"/>
          <w:b w:val="false"/>
          <w:bCs w:val="false"/>
          <w:color w:val="000000"/>
          <w:sz w:val="24"/>
          <w:szCs w:val="24"/>
          <w:lang w:bidi="ar-SA" w:eastAsia="ru-RU" w:val="kpv-RU"/>
        </w:rPr>
        <w:t>субвенцияяс</w:t>
      </w:r>
      <w:r>
        <w:rPr>
          <w:rFonts w:cs="Times New Roman"/>
          <w:b/>
          <w:bCs/>
          <w:color w:val="000000"/>
          <w:sz w:val="24"/>
          <w:szCs w:val="24"/>
          <w:lang w:bidi="ar-SA" w:eastAsia="ru-RU" w:val="kpv-RU"/>
        </w:rPr>
        <w:t xml:space="preserve"> </w:t>
      </w:r>
    </w:p>
    <w:p>
      <w:pPr>
        <w:pStyle w:val="style0"/>
        <w:ind w:hanging="0" w:left="88" w:right="0"/>
        <w:jc w:val="center"/>
      </w:pPr>
      <w:r>
        <w:rPr>
          <w:rFonts w:cs="Times New Roman"/>
          <w:b/>
          <w:bCs/>
          <w:color w:val="000000"/>
          <w:sz w:val="24"/>
          <w:szCs w:val="24"/>
          <w:lang w:bidi="ar-SA" w:eastAsia="ru-RU" w:val="kpv-RU"/>
        </w:rPr>
        <w:t>ЮКЛӦМ</w:t>
      </w:r>
    </w:p>
    <w:p>
      <w:pPr>
        <w:pStyle w:val="style0"/>
      </w:pPr>
      <w:r>
        <w:rPr/>
      </w:r>
    </w:p>
    <w:tbl>
      <w:tblPr>
        <w:jc w:val="left"/>
        <w:tblInd w:type="dxa" w:w="9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5965"/>
        <w:gridCol w:w="2020"/>
        <w:gridCol w:w="345"/>
      </w:tblGrid>
      <w:tr>
        <w:trPr>
          <w:trHeight w:hRule="atLeast" w:val="735"/>
          <w:cantSplit w:val="false"/>
        </w:trPr>
        <w:tc>
          <w:tcPr>
            <w:tcW w:type="dxa" w:w="596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1"/>
              <w:jc w:val="center"/>
            </w:pPr>
            <w:r>
              <w:rPr>
                <w:rFonts w:ascii="Times New Roman" w:cs="Times New Roman" w:hAnsi="Times New Roman"/>
                <w:b/>
                <w:sz w:val="24"/>
                <w:szCs w:val="24"/>
                <w:lang w:bidi="ar-SA" w:eastAsia="ru-RU" w:val="kpv-RU"/>
              </w:rPr>
              <w:t>Муниципальнӧй юкӧнъяслӧн ним</w:t>
            </w:r>
          </w:p>
        </w:tc>
        <w:tc>
          <w:tcPr>
            <w:tcW w:type="dxa" w:w="2020"/>
            <w:tcBorders>
              <w:top w:color="00000A" w:space="0" w:sz="4" w:val="single"/>
              <w:left w:val="none"/>
              <w:bottom w:val="none"/>
              <w:right w:color="00000A" w:space="0" w:sz="4" w:val="single"/>
            </w:tcBorders>
            <w:shd w:fill="FFFFFF" w:val="clear"/>
            <w:tcMar>
              <w:left w:type="dxa" w:w="108"/>
            </w:tcMar>
          </w:tcPr>
          <w:p>
            <w:pPr>
              <w:pStyle w:val="style21"/>
              <w:jc w:val="center"/>
            </w:pPr>
            <w:r>
              <w:rPr>
                <w:rFonts w:ascii="Times New Roman" w:cs="Times New Roman" w:hAnsi="Times New Roman"/>
                <w:b/>
                <w:sz w:val="24"/>
                <w:szCs w:val="24"/>
                <w:lang w:bidi="ar-SA" w:eastAsia="ru-RU" w:val="kpv-RU"/>
              </w:rPr>
              <w:t>Сьӧм мында</w:t>
            </w:r>
          </w:p>
          <w:p>
            <w:pPr>
              <w:pStyle w:val="style21"/>
              <w:jc w:val="center"/>
            </w:pPr>
            <w:r>
              <w:rPr>
                <w:rFonts w:ascii="Times New Roman" w:cs="Times New Roman" w:hAnsi="Times New Roman"/>
                <w:b/>
                <w:sz w:val="24"/>
                <w:szCs w:val="24"/>
                <w:lang w:bidi="ar-SA" w:eastAsia="ru-RU" w:val="kpv-RU"/>
              </w:rPr>
              <w:t>(сюрс шайт)</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"Воркута" кар кытш</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3 261,9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"Инта" кар кытш</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933,3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0"/>
            </w:pPr>
            <w:r>
              <w:rPr>
                <w:sz w:val="24"/>
                <w:szCs w:val="24"/>
                <w:lang w:bidi="ar-SA" w:eastAsia="ru-RU" w:val="kpv-RU"/>
              </w:rPr>
              <w:t>"Сыктывкар" кар кытш</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261,3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"Усинск" кар кытш</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560,9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"Ухта" кар кытш</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497,0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"Вуктыл"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232,8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"Изьва"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192,5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"Княжпогост"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156,7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"Койгорт"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104,5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0"/>
            </w:pPr>
            <w:r>
              <w:rPr>
                <w:sz w:val="24"/>
                <w:szCs w:val="24"/>
                <w:lang w:bidi="ar-SA" w:eastAsia="ru-RU" w:val="kpv-RU"/>
              </w:rPr>
              <w:t xml:space="preserve">"Кӧрткерӧс" </w:t>
            </w:r>
            <w:r>
              <w:rPr>
                <w:rFonts w:cs="Times New Roman"/>
                <w:sz w:val="24"/>
                <w:szCs w:val="24"/>
                <w:lang w:bidi="ar-SA" w:eastAsia="ru-RU" w:val="kpv-RU"/>
              </w:rPr>
              <w:t>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104,5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0"/>
            </w:pPr>
            <w:r>
              <w:rPr>
                <w:sz w:val="24"/>
                <w:szCs w:val="24"/>
                <w:lang w:bidi="ar-SA" w:eastAsia="ru-RU" w:val="kpv-RU"/>
              </w:rPr>
              <w:t>"Печора"</w:t>
            </w:r>
            <w:r>
              <w:rPr>
                <w:rFonts w:cs="Times New Roman"/>
                <w:sz w:val="24"/>
                <w:szCs w:val="24"/>
                <w:lang w:bidi="ar-SA" w:eastAsia="ru-RU" w:val="kpv-RU"/>
              </w:rPr>
              <w:t>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577,4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0"/>
            </w:pPr>
            <w:r>
              <w:rPr>
                <w:sz w:val="24"/>
                <w:szCs w:val="24"/>
                <w:lang w:bidi="ar-SA" w:eastAsia="ru-RU" w:val="kpv-RU"/>
              </w:rPr>
              <w:t xml:space="preserve">"Луздор" </w:t>
            </w:r>
            <w:r>
              <w:rPr>
                <w:rFonts w:cs="Times New Roman"/>
                <w:sz w:val="24"/>
                <w:szCs w:val="24"/>
                <w:lang w:bidi="ar-SA" w:eastAsia="ru-RU" w:val="kpv-RU"/>
              </w:rPr>
              <w:t>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156,8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"Сосногорск"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276,1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"Сыктывдiн"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261,3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"Сыктыв"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156,8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"Мылдiн"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220,9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"Удора"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220,9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"Емдiн"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156,8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"Кулӧмдiн"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104,5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75"/>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tcPr>
          <w:p>
            <w:pPr>
              <w:pStyle w:val="style21"/>
            </w:pPr>
            <w:r>
              <w:rPr>
                <w:rFonts w:ascii="Times New Roman" w:cs="Times New Roman" w:hAnsi="Times New Roman"/>
                <w:sz w:val="24"/>
                <w:szCs w:val="24"/>
                <w:lang w:bidi="ar-SA" w:eastAsia="ru-RU" w:val="kpv-RU"/>
              </w:rPr>
              <w:t>"Чилимдін" муниципальнӧй район</w:t>
            </w:r>
          </w:p>
        </w:tc>
        <w:tc>
          <w:tcPr>
            <w:tcW w:type="dxa" w:w="2020"/>
            <w:tcBorders>
              <w:top w:val="none"/>
              <w:left w:val="none"/>
              <w:bottom w:color="00000A" w:space="0" w:sz="4" w:val="single"/>
              <w:right w:color="00000A" w:space="0" w:sz="4" w:val="single"/>
            </w:tcBorders>
            <w:shd w:fill="FFFFFF" w:val="clear"/>
            <w:tcMar>
              <w:left w:type="dxa" w:w="108"/>
            </w:tcMar>
          </w:tcPr>
          <w:p>
            <w:pPr>
              <w:pStyle w:val="style0"/>
            </w:pPr>
            <w:r>
              <w:rPr>
                <w:sz w:val="28"/>
                <w:szCs w:val="28"/>
              </w:rPr>
              <w:t xml:space="preserve"> </w:t>
            </w:r>
            <w:r>
              <w:rPr>
                <w:sz w:val="28"/>
                <w:szCs w:val="28"/>
              </w:rPr>
              <w:t xml:space="preserve">256,6 </w:t>
            </w:r>
          </w:p>
        </w:tc>
        <w:tc>
          <w:tcPr>
            <w:tcW w:type="dxa" w:w="345"/>
            <w:tcBorders>
              <w:top w:val="none"/>
              <w:left w:val="none"/>
              <w:bottom w:val="none"/>
              <w:right w:val="none"/>
            </w:tcBorders>
            <w:shd w:fill="FFFFFF" w:val="clear"/>
            <w:tcMar>
              <w:left w:type="dxa" w:w="108"/>
            </w:tcMar>
          </w:tcPr>
          <w:p>
            <w:pPr>
              <w:pStyle w:val="style0"/>
            </w:pPr>
            <w:r>
              <w:rPr/>
            </w:r>
          </w:p>
        </w:tc>
      </w:tr>
      <w:tr>
        <w:trPr>
          <w:trHeight w:hRule="atLeast" w:val="384"/>
          <w:cantSplit w:val="false"/>
        </w:trPr>
        <w:tc>
          <w:tcPr>
            <w:tcW w:type="dxa" w:w="5965"/>
            <w:tcBorders>
              <w:top w:val="none"/>
              <w:left w:color="00000A" w:space="0" w:sz="4" w:val="single"/>
              <w:bottom w:color="00000A" w:space="0" w:sz="4" w:val="single"/>
              <w:right w:color="00000A" w:space="0" w:sz="4" w:val="single"/>
            </w:tcBorders>
            <w:shd w:fill="FFFFFF" w:val="clear"/>
            <w:tcMar>
              <w:left w:type="dxa" w:w="98"/>
            </w:tcMar>
            <w:vAlign w:val="bottom"/>
          </w:tcPr>
          <w:p>
            <w:pPr>
              <w:pStyle w:val="style0"/>
              <w:spacing w:line="100" w:lineRule="atLeast"/>
            </w:pPr>
            <w:r>
              <w:rPr>
                <w:b/>
                <w:bCs/>
                <w:sz w:val="24"/>
                <w:szCs w:val="24"/>
                <w:lang w:bidi="ar-SA" w:eastAsia="ru-RU" w:val="kpv-RU"/>
              </w:rPr>
              <w:t>СТАВЫС</w:t>
            </w:r>
          </w:p>
        </w:tc>
        <w:tc>
          <w:tcPr>
            <w:tcW w:type="dxa" w:w="2020"/>
            <w:tcBorders>
              <w:top w:val="none"/>
              <w:left w:val="none"/>
              <w:bottom w:color="00000A" w:space="0" w:sz="4" w:val="single"/>
              <w:right w:color="00000A" w:space="0" w:sz="4" w:val="single"/>
            </w:tcBorders>
            <w:shd w:fill="FFFFFF" w:val="clear"/>
            <w:tcMar>
              <w:left w:type="dxa" w:w="108"/>
            </w:tcMar>
            <w:vAlign w:val="bottom"/>
          </w:tcPr>
          <w:p>
            <w:pPr>
              <w:pStyle w:val="style0"/>
              <w:spacing w:line="100" w:lineRule="atLeast"/>
            </w:pPr>
            <w:r>
              <w:rPr>
                <w:b/>
                <w:bCs/>
                <w:sz w:val="28"/>
                <w:szCs w:val="28"/>
              </w:rPr>
              <w:t xml:space="preserve"> </w:t>
            </w:r>
            <w:r>
              <w:rPr>
                <w:b/>
                <w:bCs/>
                <w:sz w:val="28"/>
                <w:szCs w:val="28"/>
              </w:rPr>
              <w:t xml:space="preserve">8 693,5 </w:t>
            </w:r>
          </w:p>
        </w:tc>
        <w:tc>
          <w:tcPr>
            <w:tcW w:type="dxa" w:w="345"/>
            <w:tcBorders>
              <w:top w:val="none"/>
              <w:left w:val="none"/>
              <w:bottom w:val="none"/>
              <w:right w:val="none"/>
            </w:tcBorders>
            <w:shd w:fill="FFFFFF" w:val="clear"/>
            <w:tcMar>
              <w:left w:type="dxa" w:w="108"/>
            </w:tcMar>
            <w:vAlign w:val="bottom"/>
          </w:tcPr>
          <w:p>
            <w:pPr>
              <w:pStyle w:val="style0"/>
            </w:pPr>
            <w:r>
              <w:rPr>
                <w:sz w:val="28"/>
                <w:szCs w:val="28"/>
              </w:rPr>
              <w:t>".</w:t>
            </w:r>
          </w:p>
        </w:tc>
      </w:tr>
    </w:tbl>
    <w:p>
      <w:pPr>
        <w:pStyle w:val="style0"/>
      </w:pPr>
      <w:r>
        <w:rPr/>
      </w:r>
    </w:p>
    <w:sectPr>
      <w:type w:val="nextPage"/>
      <w:pgSz w:h="16838" w:w="11906"/>
      <w:pgMar w:bottom="1134" w:footer="0" w:gutter="0" w:header="0" w:left="1701" w:right="850" w:top="1134"/>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ans">
    <w:altName w:val="Arial"/>
    <w:charset w:val="80"/>
    <w:family w:val="swiss"/>
    <w:pitch w:val="variable"/>
  </w:font>
  <w:font w:name="Courier New">
    <w:charset w:val="80"/>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00000A"/>
      <w:sz w:val="20"/>
      <w:szCs w:val="20"/>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Liberation Sans" w:cs="Lohit Devanagari" w:eastAsia="Bitstream Vera Sans" w:hAnsi="Liberation Sans"/>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Plain Text"/>
    <w:basedOn w:val="style0"/>
    <w:next w:val="style21"/>
    <w:pPr/>
    <w:rPr>
      <w:rFonts w:ascii="Courier New" w:cs="Courier New" w:hAnsi="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2013-10-04T07:31:00.00Z</dcterms:created>
  <dc:creator>Оверин Сергей Иванович</dc:creator>
  <cp:lastModifiedBy>Оверин Сергей Иванович</cp:lastModifiedBy>
  <dcterms:modified xsi:type="dcterms:W3CDTF">2013-10-04T07:32:00.00Z</dcterms:modified>
  <cp:revision>1</cp:revision>
</cp:coreProperties>
</file>