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8"/>
          <w:szCs w:val="28"/>
          <w:lang w:val="kpv-RU"/>
        </w:rPr>
        <w:t>«</w:t>
      </w:r>
      <w:r>
        <w:rPr>
          <w:rFonts w:cs="Times New Roman"/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8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«16 содтӧдлӧн 3 таблица</w:t>
      </w:r>
    </w:p>
    <w:p>
      <w:pPr>
        <w:pStyle w:val="style0"/>
        <w:jc w:val="right"/>
      </w:pPr>
      <w:r>
        <w:rPr/>
      </w:r>
    </w:p>
    <w:p>
      <w:pPr>
        <w:pStyle w:val="style22"/>
        <w:jc w:val="center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kpv-RU"/>
        </w:rPr>
        <w:t xml:space="preserve">2013 во вылӧ меставывса сьӧмкудъяс сбалансируйтӧм кузя </w:t>
      </w:r>
    </w:p>
    <w:p>
      <w:pPr>
        <w:pStyle w:val="style22"/>
        <w:jc w:val="center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kpv-RU"/>
        </w:rPr>
        <w:t xml:space="preserve">мераяслы отсӧг сетӧм вылӧ  дотацияяс </w:t>
      </w:r>
    </w:p>
    <w:p>
      <w:pPr>
        <w:pStyle w:val="style22"/>
        <w:spacing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bidi="ar-SA" w:eastAsia="ru-RU" w:val="kpv-RU"/>
        </w:rPr>
        <w:t>ЮКЛӦМ</w:t>
      </w:r>
    </w:p>
    <w:p>
      <w:pPr>
        <w:pStyle w:val="style22"/>
        <w:spacing w:line="100" w:lineRule="atLeast"/>
        <w:jc w:val="center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18"/>
        <w:gridCol w:w="1940"/>
        <w:gridCol w:w="402"/>
      </w:tblGrid>
      <w:tr>
        <w:trPr>
          <w:trHeight w:hRule="atLeast" w:val="660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Сьӧм мында</w:t>
            </w:r>
          </w:p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(сюрс шайт)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"Воркута" кар кытш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481 878,3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"Инта"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268 849,1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419 829,1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280 783,5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"Ухта"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148 575,4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57 447,9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89 578,8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123 014,4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32 547,3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 xml:space="preserve">"Кӧрткерӧс" </w:t>
            </w:r>
            <w:r>
              <w:rPr>
                <w:rFonts w:cs="Times New Roman"/>
                <w:sz w:val="28"/>
                <w:szCs w:val="28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41 107,5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"Печора"</w:t>
            </w:r>
            <w:r>
              <w:rPr>
                <w:rFonts w:cs="Times New Roman"/>
                <w:sz w:val="28"/>
                <w:szCs w:val="28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75 361,3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 xml:space="preserve">"Луздор" </w:t>
            </w:r>
            <w:r>
              <w:rPr>
                <w:rFonts w:cs="Times New Roman"/>
                <w:sz w:val="28"/>
                <w:szCs w:val="28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44 007,9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"Сосногорск"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176 785,8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"Сыктывдiн"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59 498,4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"Сыктыв"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26 636,2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"Мылдiн"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16 554,2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41 818,7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"Емдiн"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43 966,6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"Кулӧмдiн"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86 289,0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111 218,8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8"/>
                <w:szCs w:val="28"/>
                <w:lang w:bidi="ar-SA" w:eastAsia="ru-RU" w:val="kpv-RU"/>
              </w:rPr>
              <w:t>СТАВНАС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2 625 748,2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Plain Text"/>
    <w:basedOn w:val="style0"/>
    <w:next w:val="style22"/>
    <w:pPr/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2013-10-04T07:08:00.00Z</dcterms:created>
  <dc:creator>Оверин Сергей Иванович</dc:creator>
  <cp:lastModifiedBy>Natasha Vorobjeva</cp:lastModifiedBy>
  <cp:lastPrinted>2013-11-13T17:07:42.00Z</cp:lastPrinted>
  <dcterms:modified xsi:type="dcterms:W3CDTF">2013-10-17T09:27:15.00Z</dcterms:modified>
  <cp:revision>1</cp:revision>
</cp:coreProperties>
</file>