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4"/>
          <w:szCs w:val="24"/>
          <w:lang w:val="kpv-RU"/>
        </w:rPr>
        <w:t>«</w:t>
      </w:r>
      <w:r>
        <w:rPr>
          <w:rFonts w:cs="Times New Roman"/>
          <w:sz w:val="24"/>
          <w:szCs w:val="24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9 содтӧд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bookmarkStart w:id="0" w:name="__DdeLink__46068_119212570"/>
      <w:bookmarkEnd w:id="0"/>
      <w:r>
        <w:rPr>
          <w:rFonts w:cs="Times New Roman"/>
          <w:color w:val="000000"/>
          <w:sz w:val="24"/>
          <w:szCs w:val="24"/>
          <w:lang w:val="kpv-RU"/>
        </w:rPr>
        <w:t>«16 содтӧдлӧн 5 таблица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color w:val="000000"/>
          <w:sz w:val="24"/>
          <w:szCs w:val="24"/>
          <w:lang w:val="kpv-RU"/>
        </w:rPr>
        <w:t xml:space="preserve">2013 во вылӧ бать-мамтӧм челядьӧс да бать-мам дӧзьӧртӧг кольӧм челядьӧс, а сідзжӧ бать-мамтӧм челядь да бать-мам дӧзьӧртӧг кольӧм челядь лыдысь йӧзӧс торъя олан жыръясӧн медалан сёрнитчӧмъяс кузя муниципальнӧй торъя оланін фондысь олан жыръясӧн могмӧдӧм вылӧ олан жыръяс стрӧитӧм, ньӧбӧм, выльмӧдӧм, дзоньталӧм вылӧ субвенцияяс </w:t>
      </w:r>
    </w:p>
    <w:p>
      <w:pPr>
        <w:pStyle w:val="style0"/>
        <w:jc w:val="center"/>
      </w:pPr>
      <w:r>
        <w:rPr>
          <w:b/>
          <w:bCs/>
          <w:color w:val="000000"/>
          <w:sz w:val="24"/>
          <w:szCs w:val="24"/>
          <w:lang w:val="kpv-RU"/>
        </w:rPr>
        <w:t>ЮКЛӦМ</w:t>
      </w:r>
    </w:p>
    <w:p>
      <w:pPr>
        <w:pStyle w:val="style0"/>
      </w:pPr>
      <w:r>
        <w:rPr/>
      </w:r>
    </w:p>
    <w:tbl>
      <w:tblPr>
        <w:jc w:val="left"/>
        <w:tblInd w:type="dxa" w:w="83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6599"/>
        <w:gridCol w:w="2170"/>
        <w:gridCol w:w="404"/>
      </w:tblGrid>
      <w:tr>
        <w:trPr>
          <w:trHeight w:hRule="atLeast" w:val="735"/>
          <w:cantSplit w:val="false"/>
        </w:trPr>
        <w:tc>
          <w:tcPr>
            <w:tcW w:type="dxa" w:w="6599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2170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(сюрс шайт)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"Воркута" кар кытш</w:t>
            </w:r>
          </w:p>
        </w:tc>
        <w:tc>
          <w:tcPr>
            <w:tcW w:type="dxa" w:w="217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900,6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"Инта" кар кытш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121,6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>"Сыктывкар" кар кытш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59 457,8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"Усинск" кар кытш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4 673,8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"Ухта" кар кытш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17 446,0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1 663,2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5 866,8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2 182,4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1 817,6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 xml:space="preserve">"Кӧрткерӧс" 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4 861,0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>"Печора"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31 339,0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 xml:space="preserve">"Луздор" 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13 242,3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"Сосногорск"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2 711,4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"Сыктывдiн"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2 846,5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"Сыктыв"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1 955,6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"Мылдiн"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22 070,5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1 712,4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"Емдiн"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4 844,6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"Кулӧмдiн"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7 838,9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6 110,1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59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4"/>
                <w:szCs w:val="24"/>
                <w:lang w:bidi="ar-SA" w:eastAsia="ru-RU" w:val="kpv-RU"/>
              </w:rPr>
              <w:t>СТАВЫС</w:t>
            </w:r>
          </w:p>
        </w:tc>
        <w:tc>
          <w:tcPr>
            <w:tcW w:type="dxa" w:w="2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193 662,1 </w:t>
            </w:r>
          </w:p>
        </w:tc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Plain Text"/>
    <w:basedOn w:val="style0"/>
    <w:next w:val="style21"/>
    <w:pPr/>
    <w:rPr>
      <w:rFonts w:ascii="Courier New" w:cs="Courier New" w:hAnsi="Courier New"/>
    </w:rPr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2013-10-04T07:13:00.00Z</dcterms:created>
  <dc:creator>Оверин Сергей Иванович</dc:creator>
  <cp:lastModifiedBy>Оверин Сергей Иванович</cp:lastModifiedBy>
  <dcterms:modified xsi:type="dcterms:W3CDTF">2013-10-04T07:14:00.00Z</dcterms:modified>
  <cp:revision>1</cp:revision>
</cp:coreProperties>
</file>