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AA" w:rsidRPr="00A2742B" w:rsidRDefault="00F214AA" w:rsidP="00F214AA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A2742B">
        <w:rPr>
          <w:bCs/>
          <w:sz w:val="28"/>
          <w:szCs w:val="28"/>
        </w:rPr>
        <w:t>КОМИ РЕСПУБЛИКАСА ПРАВИТЕЛЬСТВОЛÖН ШУÖМ</w:t>
      </w:r>
    </w:p>
    <w:p w:rsidR="00F214AA" w:rsidRDefault="00F214AA" w:rsidP="00F214AA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A2742B" w:rsidRPr="00A2742B" w:rsidRDefault="00A2742B" w:rsidP="00F647E1">
      <w:pPr>
        <w:spacing w:line="360" w:lineRule="auto"/>
        <w:jc w:val="center"/>
        <w:rPr>
          <w:b/>
          <w:sz w:val="28"/>
          <w:szCs w:val="28"/>
        </w:rPr>
      </w:pPr>
      <w:r w:rsidRPr="00A2742B">
        <w:rPr>
          <w:b/>
          <w:sz w:val="28"/>
          <w:szCs w:val="28"/>
        </w:rPr>
        <w:t>Коми Республикаса республиканскöй бюджетлöн сьöм тшöт весьтö</w:t>
      </w:r>
      <w:r>
        <w:rPr>
          <w:b/>
          <w:sz w:val="28"/>
          <w:szCs w:val="28"/>
        </w:rPr>
        <w:t xml:space="preserve"> оланiн стрöитöм могысь инженернöй инфраструктураöн выль му участокъяс могмöдöм кузя инвестиционнöй проектъяс збыльмöдöм вылö </w:t>
      </w:r>
      <w:r w:rsidR="00F647E1">
        <w:rPr>
          <w:b/>
          <w:sz w:val="28"/>
          <w:szCs w:val="28"/>
        </w:rPr>
        <w:t>меставывса бюджетъяслы 2010 воын</w:t>
      </w:r>
      <w:r>
        <w:rPr>
          <w:b/>
          <w:sz w:val="28"/>
          <w:szCs w:val="28"/>
        </w:rPr>
        <w:t xml:space="preserve"> субсидияяс юклöм йылысь</w:t>
      </w:r>
    </w:p>
    <w:p w:rsidR="00F214AA" w:rsidRDefault="00F214AA" w:rsidP="00F214AA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F214AA" w:rsidRPr="00A2742B" w:rsidRDefault="00A2742B" w:rsidP="00A2742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2742B">
        <w:rPr>
          <w:bCs/>
          <w:sz w:val="28"/>
          <w:szCs w:val="28"/>
        </w:rPr>
        <w:t>Оланін стрöитöм могысь выль му участокъяс инженернöй инфраструктураöн могмöдöм кузя инвестиция проектъяс збыльмöдöм вылö Коми Республикаса республиканскöй бюджетысь меставывса бюджетъяслы субсидияяс сетöм могысь Коми Республикаын муниципальнöй юкöнъяс бöрйöм йылысь</w:t>
      </w:r>
      <w:r>
        <w:rPr>
          <w:bCs/>
          <w:sz w:val="28"/>
          <w:szCs w:val="28"/>
        </w:rPr>
        <w:t xml:space="preserve">» Коми Республикаса Правительстволöн 2008 во öшым тöлысь 31 лунся 396 №-а шуöм олöмö пöртöм могысь </w:t>
      </w:r>
      <w:r w:rsidR="00F214AA" w:rsidRPr="00A2742B">
        <w:rPr>
          <w:sz w:val="28"/>
          <w:szCs w:val="28"/>
        </w:rPr>
        <w:t>Коми Республикаса Правительство шуис:</w:t>
      </w:r>
    </w:p>
    <w:p w:rsidR="00F214AA" w:rsidRPr="00F647E1" w:rsidRDefault="00F214AA" w:rsidP="00F214AA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7E1">
        <w:rPr>
          <w:sz w:val="28"/>
          <w:szCs w:val="28"/>
        </w:rPr>
        <w:t xml:space="preserve">Юклыны </w:t>
      </w:r>
      <w:r w:rsidR="00F647E1" w:rsidRPr="00F647E1">
        <w:rPr>
          <w:sz w:val="28"/>
          <w:szCs w:val="28"/>
        </w:rPr>
        <w:t xml:space="preserve">2010 воын </w:t>
      </w:r>
      <w:r w:rsidR="00F647E1">
        <w:rPr>
          <w:sz w:val="28"/>
          <w:szCs w:val="28"/>
        </w:rPr>
        <w:t>субсидияяс</w:t>
      </w:r>
      <w:r w:rsidR="00F647E1" w:rsidRPr="00F647E1">
        <w:rPr>
          <w:sz w:val="28"/>
          <w:szCs w:val="28"/>
        </w:rPr>
        <w:t xml:space="preserve"> меставывса бюджетъяслы</w:t>
      </w:r>
      <w:r w:rsidR="00F647E1">
        <w:rPr>
          <w:sz w:val="28"/>
          <w:szCs w:val="28"/>
        </w:rPr>
        <w:t xml:space="preserve"> </w:t>
      </w:r>
      <w:r w:rsidR="00F647E1" w:rsidRPr="00F647E1">
        <w:rPr>
          <w:sz w:val="28"/>
          <w:szCs w:val="28"/>
        </w:rPr>
        <w:t xml:space="preserve">Коми Республикаса республиканскöй бюджетлöн сьöм тшöт весьтö оланiн стрöитöм могысь инженернöй инфраструктураöн выль му участокъяс могмöдöм кузя инвестиционнöй проектъяс збыльмöдöм вылö </w:t>
      </w:r>
      <w:r w:rsidR="00F647E1">
        <w:rPr>
          <w:sz w:val="28"/>
          <w:szCs w:val="28"/>
        </w:rPr>
        <w:t>содтöдын индöм серти.</w:t>
      </w:r>
    </w:p>
    <w:p w:rsidR="00F214AA" w:rsidRDefault="00F214AA" w:rsidP="00F214AA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Тайö шуöм олöмö пöртöм бöрся видзöдны Коми Республикаса архитектура, стрöитчöм да коммунальнöй овмöс министерство</w:t>
      </w:r>
      <w:r w:rsidR="009A7DA4">
        <w:rPr>
          <w:bCs/>
          <w:sz w:val="28"/>
          <w:szCs w:val="28"/>
        </w:rPr>
        <w:t>лы</w:t>
      </w:r>
      <w:r>
        <w:rPr>
          <w:bCs/>
          <w:sz w:val="28"/>
          <w:szCs w:val="28"/>
        </w:rPr>
        <w:t>.</w:t>
      </w:r>
    </w:p>
    <w:p w:rsidR="00F214AA" w:rsidRDefault="00F214AA" w:rsidP="00F214AA">
      <w:pPr>
        <w:spacing w:line="360" w:lineRule="auto"/>
        <w:ind w:right="-96" w:firstLine="567"/>
        <w:jc w:val="both"/>
        <w:rPr>
          <w:bCs/>
          <w:sz w:val="28"/>
          <w:szCs w:val="28"/>
        </w:rPr>
      </w:pPr>
    </w:p>
    <w:p w:rsidR="00F214AA" w:rsidRDefault="00F214AA" w:rsidP="00F214AA">
      <w:pPr>
        <w:spacing w:line="360" w:lineRule="auto"/>
        <w:ind w:firstLine="567"/>
        <w:jc w:val="both"/>
        <w:rPr>
          <w:sz w:val="28"/>
          <w:szCs w:val="28"/>
        </w:rPr>
      </w:pPr>
    </w:p>
    <w:p w:rsidR="00F214AA" w:rsidRDefault="00F214AA" w:rsidP="00F214AA">
      <w:pPr>
        <w:spacing w:line="360" w:lineRule="auto"/>
        <w:ind w:firstLine="567"/>
        <w:jc w:val="both"/>
        <w:rPr>
          <w:sz w:val="28"/>
          <w:szCs w:val="28"/>
        </w:rPr>
      </w:pPr>
    </w:p>
    <w:p w:rsidR="00F214AA" w:rsidRDefault="00F214AA" w:rsidP="00F21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В.Гайзер</w:t>
      </w:r>
    </w:p>
    <w:p w:rsidR="00F214AA" w:rsidRDefault="00F214AA" w:rsidP="00F214AA">
      <w:pPr>
        <w:spacing w:line="360" w:lineRule="auto"/>
        <w:jc w:val="both"/>
        <w:rPr>
          <w:sz w:val="28"/>
          <w:szCs w:val="28"/>
        </w:rPr>
      </w:pPr>
    </w:p>
    <w:p w:rsidR="00F214AA" w:rsidRDefault="00F214AA" w:rsidP="00F21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214AA" w:rsidRDefault="00F214AA" w:rsidP="00F21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15 лун</w:t>
      </w:r>
    </w:p>
    <w:p w:rsidR="00F214AA" w:rsidRDefault="00F214AA" w:rsidP="00F21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311 №</w:t>
      </w:r>
    </w:p>
    <w:p w:rsidR="00F647E1" w:rsidRDefault="00F647E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7E1" w:rsidRDefault="00F647E1" w:rsidP="00F647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F647E1" w:rsidRDefault="00F647E1" w:rsidP="00F647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кöч тöлысь 15 лунся 311 №-а шуöм дорö</w:t>
      </w:r>
    </w:p>
    <w:p w:rsidR="00F647E1" w:rsidRDefault="00F647E1" w:rsidP="00F647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647E1" w:rsidRDefault="00F647E1" w:rsidP="00F647E1">
      <w:pPr>
        <w:spacing w:line="360" w:lineRule="auto"/>
        <w:jc w:val="right"/>
        <w:rPr>
          <w:sz w:val="28"/>
          <w:szCs w:val="28"/>
        </w:rPr>
      </w:pPr>
    </w:p>
    <w:p w:rsidR="00F647E1" w:rsidRPr="00F647E1" w:rsidRDefault="00F647E1" w:rsidP="00F647E1">
      <w:pPr>
        <w:spacing w:line="360" w:lineRule="auto"/>
        <w:jc w:val="center"/>
        <w:rPr>
          <w:sz w:val="28"/>
          <w:szCs w:val="28"/>
        </w:rPr>
      </w:pPr>
      <w:r w:rsidRPr="00F647E1">
        <w:rPr>
          <w:sz w:val="28"/>
          <w:szCs w:val="28"/>
        </w:rPr>
        <w:t xml:space="preserve">Коми Республикаса республиканскöй бюджетлöн сьöм тшöт весьтö оланiн стрöитöм могысь инженернöй инфраструктураöн выль му участокъяс могмöдöм кузя инвестиционнöй проектъяс збыльмöдöм вылö меставывса бюджетъяслы 2010 воын субсидияяс </w:t>
      </w:r>
    </w:p>
    <w:p w:rsidR="00F647E1" w:rsidRDefault="00F647E1" w:rsidP="00F647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ЮКЛÖМ</w:t>
      </w:r>
    </w:p>
    <w:p w:rsidR="00F769D8" w:rsidRDefault="00F769D8" w:rsidP="00F769D8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2268"/>
        <w:gridCol w:w="4394"/>
        <w:gridCol w:w="1950"/>
      </w:tblGrid>
      <w:tr w:rsidR="00F769D8" w:rsidTr="00F769D8">
        <w:tc>
          <w:tcPr>
            <w:tcW w:w="959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2268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Муниципальнöй юкöн</w:t>
            </w: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Инвестиционнöй проект ним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ыджда, сюрс шайт</w:t>
            </w:r>
          </w:p>
        </w:tc>
      </w:tr>
      <w:tr w:rsidR="00F769D8" w:rsidTr="00F769D8">
        <w:tc>
          <w:tcPr>
            <w:tcW w:w="959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9D8" w:rsidTr="00F769D8">
        <w:tc>
          <w:tcPr>
            <w:tcW w:w="959" w:type="dxa"/>
            <w:vMerge w:val="restart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</w:tcPr>
          <w:p w:rsidR="00F769D8" w:rsidRDefault="00F769D8" w:rsidP="00690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«Емдiн» муниципальнöй юкöн</w:t>
            </w: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Микунь к. Ленин ул. кузя оланiн стрöитöм вылö му участок инженернöй инфраструктураöн могмöдöм, сы лыдын: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7825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Микунь к. Ленин ул. кузя оланiн стрöитöм вылö му участок инженернöй инфраструктураöн могмöдöм. Ваöн могмöдан ортсы сетьяс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9A7DA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Микунь к. Ленин ул. кузя оланiн стрöитöм вылö му участок инженер</w:t>
            </w:r>
            <w:r w:rsidR="009A7DA4">
              <w:rPr>
                <w:sz w:val="28"/>
                <w:szCs w:val="28"/>
              </w:rPr>
              <w:t>нöй инфраструктураöн могмöдöм. О</w:t>
            </w:r>
            <w:r>
              <w:rPr>
                <w:sz w:val="28"/>
                <w:szCs w:val="28"/>
              </w:rPr>
              <w:t xml:space="preserve">ртсы </w:t>
            </w:r>
            <w:r w:rsidR="009A7DA4">
              <w:rPr>
                <w:sz w:val="28"/>
                <w:szCs w:val="28"/>
              </w:rPr>
              <w:t xml:space="preserve">канализация </w:t>
            </w:r>
            <w:r>
              <w:rPr>
                <w:sz w:val="28"/>
                <w:szCs w:val="28"/>
              </w:rPr>
              <w:t>сетьяс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Микунь к. Ленин ул. кузя оланiн стрöитöм вылö му участок инженернöй инфраструктураöн могмöдöм. Шоныд сетан сетьяс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4344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Микунь к. Ленин ул. кузя оланiн стрöитöм вылö му участок инженернöй инфраструктураöн могмöдöм. Электрическöй сетьяс дорö 3 олан керка технологическöя йитöм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Микунь к. Ленин ул. кузя оланiн стрöитöм вылö му участок </w:t>
            </w:r>
            <w:r>
              <w:rPr>
                <w:sz w:val="28"/>
                <w:szCs w:val="28"/>
              </w:rPr>
              <w:lastRenderedPageBreak/>
              <w:t>инженернöй инфраструктураöн могмöдöм. Керка стрöитан зонаысь ВЛ-10 кВ электросетьяс вуджöдöм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</w:t>
            </w:r>
          </w:p>
        </w:tc>
      </w:tr>
      <w:tr w:rsidR="00F769D8" w:rsidTr="00F769D8">
        <w:tc>
          <w:tcPr>
            <w:tcW w:w="959" w:type="dxa"/>
            <w:vMerge w:val="restart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F769D8" w:rsidRDefault="00F769D8" w:rsidP="00690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«Изьва» муниципальнöй юкöн</w:t>
            </w: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Изьва районса Изьва с. Пожöма ул. кузя олан керкаяслысь квартал стрöитöм, сы лыдын: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69065C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Изьва районса Изьва с. Пожöма ул. кузя олан керкаяслысь квартал стрöитöм</w:t>
            </w:r>
            <w:r w:rsidR="00F769D8">
              <w:rPr>
                <w:sz w:val="28"/>
                <w:szCs w:val="28"/>
              </w:rPr>
              <w:t>. Энергетическöй овмöс объектъяс (трансфор</w:t>
            </w:r>
            <w:r>
              <w:rPr>
                <w:sz w:val="28"/>
                <w:szCs w:val="28"/>
              </w:rPr>
              <w:t>маторнöй подстанция, ВЛ-10 кВ сетьяс, плöщадкапытшса 1,4 кВ сетьяс)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69065C">
              <w:rPr>
                <w:sz w:val="28"/>
                <w:szCs w:val="28"/>
              </w:rPr>
              <w:t>Изьва районса Изьва с. Пожöма ул. кузя олан керкаяслысь квартал стрöитöм</w:t>
            </w:r>
            <w:r>
              <w:rPr>
                <w:sz w:val="28"/>
                <w:szCs w:val="28"/>
              </w:rPr>
              <w:t>.</w:t>
            </w:r>
            <w:r w:rsidR="0069065C">
              <w:rPr>
                <w:sz w:val="28"/>
                <w:szCs w:val="28"/>
              </w:rPr>
              <w:t xml:space="preserve"> Электрическöй сетьяс дорö технологическöя йитöм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69065C">
              <w:rPr>
                <w:sz w:val="28"/>
                <w:szCs w:val="28"/>
              </w:rPr>
              <w:t>Изьва районса Изьва с. Пожöма ул. кузя олан керкаяслысь квартал стрöитöм</w:t>
            </w:r>
            <w:r>
              <w:rPr>
                <w:sz w:val="28"/>
                <w:szCs w:val="28"/>
              </w:rPr>
              <w:t>.</w:t>
            </w:r>
            <w:r w:rsidR="0069065C">
              <w:rPr>
                <w:sz w:val="28"/>
                <w:szCs w:val="28"/>
              </w:rPr>
              <w:t xml:space="preserve"> Транспорт овмöс объектъяс (ветланiнъяс)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</w:tr>
      <w:tr w:rsidR="00F769D8" w:rsidTr="00F769D8">
        <w:tc>
          <w:tcPr>
            <w:tcW w:w="959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69D8" w:rsidRDefault="00F769D8" w:rsidP="006906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</w:t>
            </w:r>
            <w:r w:rsidR="0069065C">
              <w:rPr>
                <w:sz w:val="28"/>
                <w:szCs w:val="28"/>
              </w:rPr>
              <w:t>нас</w:t>
            </w:r>
          </w:p>
        </w:tc>
        <w:tc>
          <w:tcPr>
            <w:tcW w:w="1950" w:type="dxa"/>
          </w:tcPr>
          <w:p w:rsidR="00F769D8" w:rsidRDefault="00F769D8" w:rsidP="00690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</w:tbl>
    <w:p w:rsidR="0033136F" w:rsidRDefault="0033136F" w:rsidP="00F769D8">
      <w:pPr>
        <w:spacing w:line="360" w:lineRule="auto"/>
      </w:pPr>
    </w:p>
    <w:p w:rsidR="0069065C" w:rsidRDefault="0069065C" w:rsidP="00F769D8">
      <w:pPr>
        <w:spacing w:line="360" w:lineRule="auto"/>
      </w:pPr>
    </w:p>
    <w:p w:rsidR="00F769D8" w:rsidRDefault="00F769D8" w:rsidP="00F769D8">
      <w:pPr>
        <w:spacing w:line="360" w:lineRule="auto"/>
      </w:pPr>
      <w:r>
        <w:t xml:space="preserve">Вуджöдiс Кузнецова Н.А., </w:t>
      </w:r>
      <w:r w:rsidR="0069065C">
        <w:t xml:space="preserve">2 601 </w:t>
      </w:r>
      <w:r>
        <w:t>пас</w:t>
      </w:r>
    </w:p>
    <w:sectPr w:rsidR="00F769D8" w:rsidSect="0069065C">
      <w:footerReference w:type="default" r:id="rId6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BC" w:rsidRDefault="00B948BC" w:rsidP="00F647E1">
      <w:r>
        <w:separator/>
      </w:r>
    </w:p>
  </w:endnote>
  <w:endnote w:type="continuationSeparator" w:id="1">
    <w:p w:rsidR="00B948BC" w:rsidRDefault="00B948BC" w:rsidP="00F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4751"/>
      <w:docPartObj>
        <w:docPartGallery w:val="Page Numbers (Bottom of Page)"/>
        <w:docPartUnique/>
      </w:docPartObj>
    </w:sdtPr>
    <w:sdtContent>
      <w:p w:rsidR="00F769D8" w:rsidRDefault="0002740C">
        <w:pPr>
          <w:pStyle w:val="a5"/>
          <w:jc w:val="center"/>
        </w:pPr>
        <w:fldSimple w:instr=" PAGE   \* MERGEFORMAT ">
          <w:r w:rsidR="009A7DA4">
            <w:rPr>
              <w:noProof/>
            </w:rPr>
            <w:t>2</w:t>
          </w:r>
        </w:fldSimple>
      </w:p>
    </w:sdtContent>
  </w:sdt>
  <w:p w:rsidR="00F769D8" w:rsidRDefault="00F769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BC" w:rsidRDefault="00B948BC" w:rsidP="00F647E1">
      <w:r>
        <w:separator/>
      </w:r>
    </w:p>
  </w:footnote>
  <w:footnote w:type="continuationSeparator" w:id="1">
    <w:p w:rsidR="00B948BC" w:rsidRDefault="00B948BC" w:rsidP="00F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4AA"/>
    <w:rsid w:val="0002740C"/>
    <w:rsid w:val="00085208"/>
    <w:rsid w:val="0033136F"/>
    <w:rsid w:val="005C07FB"/>
    <w:rsid w:val="00663E79"/>
    <w:rsid w:val="0069065C"/>
    <w:rsid w:val="007759B4"/>
    <w:rsid w:val="00827B9A"/>
    <w:rsid w:val="009A7DA4"/>
    <w:rsid w:val="00A2742B"/>
    <w:rsid w:val="00B5650D"/>
    <w:rsid w:val="00B948BC"/>
    <w:rsid w:val="00ED733D"/>
    <w:rsid w:val="00F214AA"/>
    <w:rsid w:val="00F647E1"/>
    <w:rsid w:val="00F7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7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76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2010-12-08T12:58:00Z</dcterms:created>
  <dcterms:modified xsi:type="dcterms:W3CDTF">2010-12-13T06:09:00Z</dcterms:modified>
</cp:coreProperties>
</file>