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8" w:rsidRPr="00B13186" w:rsidRDefault="00B82A38" w:rsidP="00B82A38">
      <w:pPr>
        <w:spacing w:line="360" w:lineRule="auto"/>
        <w:jc w:val="center"/>
        <w:rPr>
          <w:b/>
          <w:sz w:val="26"/>
          <w:szCs w:val="26"/>
        </w:rPr>
      </w:pPr>
      <w:r w:rsidRPr="00B13186">
        <w:rPr>
          <w:b/>
          <w:sz w:val="26"/>
          <w:szCs w:val="26"/>
        </w:rPr>
        <w:t>КОМИ РЕСПУБЛИКАСА ТАРИФ СЛУЖБАЛÖН</w:t>
      </w:r>
      <w:r w:rsidRPr="00B13186">
        <w:rPr>
          <w:b/>
          <w:sz w:val="26"/>
          <w:szCs w:val="26"/>
        </w:rPr>
        <w:br/>
        <w:t>ТШÖКТÖД</w:t>
      </w:r>
    </w:p>
    <w:p w:rsidR="00B82A38" w:rsidRPr="00B13186" w:rsidRDefault="00B82A38" w:rsidP="00B82A38">
      <w:pPr>
        <w:spacing w:line="360" w:lineRule="auto"/>
        <w:jc w:val="center"/>
        <w:rPr>
          <w:b/>
          <w:sz w:val="26"/>
          <w:szCs w:val="26"/>
        </w:rPr>
      </w:pPr>
    </w:p>
    <w:p w:rsidR="00B82A38" w:rsidRPr="00B13186" w:rsidRDefault="00B13186" w:rsidP="00B82A38">
      <w:pPr>
        <w:spacing w:line="360" w:lineRule="auto"/>
        <w:jc w:val="center"/>
        <w:rPr>
          <w:b/>
          <w:sz w:val="26"/>
          <w:szCs w:val="26"/>
        </w:rPr>
      </w:pPr>
      <w:r w:rsidRPr="00B13186">
        <w:rPr>
          <w:b/>
          <w:sz w:val="26"/>
          <w:szCs w:val="26"/>
        </w:rPr>
        <w:t>Ч</w:t>
      </w:r>
      <w:r w:rsidR="00B82A38" w:rsidRPr="00B13186">
        <w:rPr>
          <w:b/>
          <w:sz w:val="26"/>
          <w:szCs w:val="26"/>
        </w:rPr>
        <w:t>орыд бытöвöй шыблас иналöм (гуалöм) юкöнын «Коммунальник»  ИКК-лöн («Мылдiн» КО МЮ) производственнöй уджтаслöн медшöр петкöдласъяс, а сiдзжö чорыд бытöвöй шыблас иналöм (гуалöм) юкöнын «Коммунальник»  ИКК-öн («Мылдiн» КО МЮ) услуга ньöбысьяслы позянлун донъялан помшуöмъяс</w:t>
      </w:r>
    </w:p>
    <w:p w:rsidR="00B82A38" w:rsidRPr="00B13186" w:rsidRDefault="00B82A38" w:rsidP="00B82A38">
      <w:pPr>
        <w:spacing w:line="360" w:lineRule="auto"/>
        <w:jc w:val="center"/>
        <w:rPr>
          <w:b/>
          <w:sz w:val="26"/>
          <w:szCs w:val="26"/>
        </w:rPr>
      </w:pPr>
    </w:p>
    <w:p w:rsidR="00B82A38" w:rsidRDefault="00B13186" w:rsidP="00B13186">
      <w:pPr>
        <w:spacing w:line="360" w:lineRule="auto"/>
        <w:ind w:firstLine="567"/>
        <w:jc w:val="both"/>
        <w:rPr>
          <w:sz w:val="26"/>
          <w:szCs w:val="26"/>
        </w:rPr>
      </w:pPr>
      <w:r w:rsidRPr="00B13186">
        <w:rPr>
          <w:sz w:val="26"/>
          <w:szCs w:val="26"/>
        </w:rPr>
        <w:t xml:space="preserve">1. </w:t>
      </w:r>
      <w:r w:rsidR="00D7294B" w:rsidRPr="00B13186">
        <w:rPr>
          <w:sz w:val="26"/>
          <w:szCs w:val="26"/>
        </w:rPr>
        <w:t xml:space="preserve">2011 во рака тöлысь 17 лунсянь 2012 во öшым тöлысь 31 лунöдз </w:t>
      </w:r>
      <w:r w:rsidR="00D7294B">
        <w:rPr>
          <w:sz w:val="26"/>
          <w:szCs w:val="26"/>
        </w:rPr>
        <w:t>ч</w:t>
      </w:r>
      <w:r w:rsidRPr="00B13186">
        <w:rPr>
          <w:sz w:val="26"/>
          <w:szCs w:val="26"/>
        </w:rPr>
        <w:t>орыд бытöвöй шыблас иналöм (гуалöм) юкöнын «Коммунальник»  ИКК-лöн («Мылдiн» КО МЮ) производственнöй уджтаслöн медшöр петкöдласъяс.</w:t>
      </w:r>
    </w:p>
    <w:p w:rsidR="00B13186" w:rsidRPr="00B13186" w:rsidRDefault="00B13186" w:rsidP="00B13186">
      <w:pPr>
        <w:spacing w:line="360" w:lineRule="auto"/>
        <w:ind w:firstLine="567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B13186" w:rsidRPr="00B13186" w:rsidTr="002011AF">
        <w:trPr>
          <w:trHeight w:val="435"/>
        </w:trPr>
        <w:tc>
          <w:tcPr>
            <w:tcW w:w="817" w:type="dxa"/>
            <w:vMerge w:val="restart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д/в №</w:t>
            </w:r>
          </w:p>
        </w:tc>
        <w:tc>
          <w:tcPr>
            <w:tcW w:w="3011" w:type="dxa"/>
            <w:vMerge w:val="restart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Производстволöн петкöдласъяс</w:t>
            </w:r>
          </w:p>
        </w:tc>
        <w:tc>
          <w:tcPr>
            <w:tcW w:w="1914" w:type="dxa"/>
            <w:vMerge w:val="restart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Мерайтан ед.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Регулируйтан кад вылö петкöдлас ыджда</w:t>
            </w:r>
          </w:p>
        </w:tc>
      </w:tr>
      <w:tr w:rsidR="00B13186" w:rsidRPr="00B13186" w:rsidTr="00B13186">
        <w:trPr>
          <w:trHeight w:val="540"/>
        </w:trPr>
        <w:tc>
          <w:tcPr>
            <w:tcW w:w="817" w:type="dxa"/>
            <w:vMerge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vMerge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13186" w:rsidRPr="00B13186" w:rsidRDefault="00B13186" w:rsidP="0063263D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 xml:space="preserve">2011 во рака тöлысь 17 лунсянь 2012 во öшым тöлысь 31 лунöдз кад вылö </w:t>
            </w:r>
            <w:r w:rsidR="0063263D">
              <w:rPr>
                <w:sz w:val="26"/>
                <w:szCs w:val="26"/>
              </w:rPr>
              <w:t>мында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B13186" w:rsidRPr="00B13186" w:rsidRDefault="00D7294B" w:rsidP="0063263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вылö</w:t>
            </w:r>
            <w:r w:rsidR="00B13186">
              <w:rPr>
                <w:sz w:val="26"/>
                <w:szCs w:val="26"/>
              </w:rPr>
              <w:t xml:space="preserve">: во вылö </w:t>
            </w:r>
            <w:r w:rsidR="0063263D">
              <w:rPr>
                <w:sz w:val="26"/>
                <w:szCs w:val="26"/>
              </w:rPr>
              <w:t>арталöмöн</w:t>
            </w:r>
          </w:p>
        </w:tc>
      </w:tr>
      <w:tr w:rsidR="00B13186" w:rsidRPr="00B13186" w:rsidTr="00B13186">
        <w:tc>
          <w:tcPr>
            <w:tcW w:w="817" w:type="dxa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2</w:t>
            </w:r>
          </w:p>
        </w:tc>
        <w:tc>
          <w:tcPr>
            <w:tcW w:w="1914" w:type="dxa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4</w:t>
            </w:r>
          </w:p>
        </w:tc>
        <w:tc>
          <w:tcPr>
            <w:tcW w:w="1915" w:type="dxa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5</w:t>
            </w:r>
          </w:p>
        </w:tc>
      </w:tr>
      <w:tr w:rsidR="00B13186" w:rsidRPr="00B13186" w:rsidTr="00B13186">
        <w:tc>
          <w:tcPr>
            <w:tcW w:w="817" w:type="dxa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B13186" w:rsidRPr="00B13186" w:rsidRDefault="002011AF" w:rsidP="00B1318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Чорыд бытöвöй шыблас</w:t>
            </w:r>
            <w:r w:rsidR="00267FA1">
              <w:rPr>
                <w:sz w:val="26"/>
                <w:szCs w:val="26"/>
              </w:rPr>
              <w:t xml:space="preserve"> мында</w:t>
            </w:r>
          </w:p>
        </w:tc>
        <w:tc>
          <w:tcPr>
            <w:tcW w:w="1914" w:type="dxa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сюрс куб. м.</w:t>
            </w:r>
          </w:p>
        </w:tc>
        <w:tc>
          <w:tcPr>
            <w:tcW w:w="1914" w:type="dxa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31,516</w:t>
            </w:r>
          </w:p>
        </w:tc>
        <w:tc>
          <w:tcPr>
            <w:tcW w:w="1915" w:type="dxa"/>
          </w:tcPr>
          <w:p w:rsidR="00B13186" w:rsidRPr="00B13186" w:rsidRDefault="00B13186" w:rsidP="00B13186">
            <w:pPr>
              <w:contextualSpacing/>
              <w:jc w:val="center"/>
              <w:rPr>
                <w:sz w:val="26"/>
                <w:szCs w:val="26"/>
              </w:rPr>
            </w:pPr>
            <w:r w:rsidRPr="00B13186">
              <w:rPr>
                <w:sz w:val="26"/>
                <w:szCs w:val="26"/>
              </w:rPr>
              <w:t>20,463</w:t>
            </w:r>
          </w:p>
        </w:tc>
      </w:tr>
    </w:tbl>
    <w:p w:rsidR="00B13186" w:rsidRDefault="00B13186" w:rsidP="00B13186">
      <w:pPr>
        <w:spacing w:line="360" w:lineRule="auto"/>
        <w:ind w:firstLine="567"/>
        <w:jc w:val="both"/>
        <w:rPr>
          <w:sz w:val="26"/>
          <w:szCs w:val="26"/>
        </w:rPr>
      </w:pPr>
    </w:p>
    <w:p w:rsidR="00B13186" w:rsidRPr="007E007E" w:rsidRDefault="00B13186" w:rsidP="00B13186">
      <w:pPr>
        <w:spacing w:line="360" w:lineRule="auto"/>
        <w:ind w:firstLine="567"/>
        <w:jc w:val="both"/>
        <w:rPr>
          <w:sz w:val="26"/>
          <w:szCs w:val="26"/>
        </w:rPr>
      </w:pPr>
      <w:r w:rsidRPr="007E007E">
        <w:rPr>
          <w:sz w:val="26"/>
          <w:szCs w:val="26"/>
        </w:rPr>
        <w:t>2. Чорыд бытöвöй шыблас иналöм (гуалöм) юкöнын «Коммунальник»  ИКК-öн («Мылдiн» КО МЮ) услуга ньöбысьяслы позянлун донъялан помшуöмъяс.</w:t>
      </w:r>
    </w:p>
    <w:p w:rsidR="004248A8" w:rsidRPr="007E007E" w:rsidRDefault="004248A8" w:rsidP="00B13186">
      <w:pPr>
        <w:spacing w:line="360" w:lineRule="auto"/>
        <w:ind w:firstLine="567"/>
        <w:jc w:val="both"/>
        <w:rPr>
          <w:sz w:val="26"/>
          <w:szCs w:val="26"/>
        </w:rPr>
      </w:pPr>
      <w:r w:rsidRPr="007E007E">
        <w:rPr>
          <w:sz w:val="26"/>
          <w:szCs w:val="26"/>
        </w:rPr>
        <w:t xml:space="preserve">2011 во рака тöлысь 17 лунсянь 2012 во öшым тöлысь 31 лунöдз кад вылö «Коммунальник»  ИКК-öн («Мылдiн» КО МЮ) чорыд бытöвöй шыблас иналöм (гуалöм) вылö </w:t>
      </w:r>
      <w:r w:rsidR="007E007E">
        <w:rPr>
          <w:sz w:val="26"/>
          <w:szCs w:val="26"/>
        </w:rPr>
        <w:t xml:space="preserve">урчитöм </w:t>
      </w:r>
      <w:r w:rsidRPr="007E007E">
        <w:rPr>
          <w:sz w:val="26"/>
          <w:szCs w:val="26"/>
        </w:rPr>
        <w:t>тариф</w:t>
      </w:r>
      <w:r w:rsidR="007E007E">
        <w:rPr>
          <w:sz w:val="26"/>
          <w:szCs w:val="26"/>
        </w:rPr>
        <w:t xml:space="preserve">ыс лöсялö критерийяслы, кутшöмъясöн вöдитчöны, медым урчитны </w:t>
      </w:r>
      <w:r w:rsidR="00D7294B">
        <w:rPr>
          <w:sz w:val="26"/>
          <w:szCs w:val="26"/>
        </w:rPr>
        <w:t xml:space="preserve">ньöбысьяслы </w:t>
      </w:r>
      <w:r w:rsidR="007E007E">
        <w:rPr>
          <w:sz w:val="26"/>
          <w:szCs w:val="26"/>
        </w:rPr>
        <w:t>коммунальнöй комплекс организацияясл</w:t>
      </w:r>
      <w:r w:rsidR="00D7294B">
        <w:rPr>
          <w:sz w:val="26"/>
          <w:szCs w:val="26"/>
        </w:rPr>
        <w:t>öн</w:t>
      </w:r>
      <w:r w:rsidR="007E007E">
        <w:rPr>
          <w:sz w:val="26"/>
          <w:szCs w:val="26"/>
        </w:rPr>
        <w:t xml:space="preserve"> вузöс да услуга </w:t>
      </w:r>
      <w:r w:rsidR="00D7294B">
        <w:rPr>
          <w:sz w:val="26"/>
          <w:szCs w:val="26"/>
        </w:rPr>
        <w:t xml:space="preserve">босьтны </w:t>
      </w:r>
      <w:r w:rsidR="007E007E">
        <w:rPr>
          <w:sz w:val="26"/>
          <w:szCs w:val="26"/>
        </w:rPr>
        <w:t>позянлунсö, мый урчитöма «Коммунальнöй комплекс организацияясл</w:t>
      </w:r>
      <w:r w:rsidR="00D7294B">
        <w:rPr>
          <w:sz w:val="26"/>
          <w:szCs w:val="26"/>
        </w:rPr>
        <w:t>öн</w:t>
      </w:r>
      <w:r w:rsidR="007E007E">
        <w:rPr>
          <w:sz w:val="26"/>
          <w:szCs w:val="26"/>
        </w:rPr>
        <w:t xml:space="preserve"> вузöс да услуга ньöбысьяслы </w:t>
      </w:r>
      <w:r w:rsidR="00D7294B">
        <w:rPr>
          <w:sz w:val="26"/>
          <w:szCs w:val="26"/>
        </w:rPr>
        <w:t xml:space="preserve">босьтны </w:t>
      </w:r>
      <w:r w:rsidR="007E007E">
        <w:rPr>
          <w:sz w:val="26"/>
          <w:szCs w:val="26"/>
        </w:rPr>
        <w:t xml:space="preserve">позянлун урчитöм вылö вöдитчана критерийяс система урчитöм йылысь» Коми Республикаса тариф службалöн </w:t>
      </w:r>
      <w:r w:rsidR="0063263D">
        <w:rPr>
          <w:sz w:val="26"/>
          <w:szCs w:val="26"/>
        </w:rPr>
        <w:t>2007 во моз тöлысь 28 лунся 38/3</w:t>
      </w:r>
      <w:r w:rsidR="007E007E">
        <w:rPr>
          <w:sz w:val="26"/>
          <w:szCs w:val="26"/>
        </w:rPr>
        <w:t xml:space="preserve"> №-а тшöктöдöн, да критерийяслы, кутшöмъясöн вöдитчöны, медым урчитны Коми Республикаын олысьяслы </w:t>
      </w:r>
      <w:r w:rsidR="007E007E">
        <w:rPr>
          <w:sz w:val="26"/>
          <w:szCs w:val="26"/>
        </w:rPr>
        <w:lastRenderedPageBreak/>
        <w:t>коммунальнöй услугаясысь мынтысьны верманлун, мый урчитöма «Коми Республикаын олысьяслы коммунальнöй услугаясысь мынтысьны верманлун критерийяс система урчитöм йылысь» Коми Республикаса тариф службалöн 2009 во йирым тöлысь 5 лунся 86/1 №-а тшöктöдöн.</w:t>
      </w:r>
    </w:p>
    <w:p w:rsidR="00B13186" w:rsidRPr="00B13186" w:rsidRDefault="00B13186" w:rsidP="00B13186">
      <w:pPr>
        <w:spacing w:line="360" w:lineRule="auto"/>
        <w:ind w:firstLine="567"/>
        <w:jc w:val="both"/>
        <w:rPr>
          <w:sz w:val="26"/>
          <w:szCs w:val="26"/>
        </w:rPr>
      </w:pPr>
    </w:p>
    <w:p w:rsidR="00B13186" w:rsidRPr="00B13186" w:rsidRDefault="00B13186" w:rsidP="00B13186">
      <w:pPr>
        <w:spacing w:line="360" w:lineRule="auto"/>
        <w:ind w:firstLine="567"/>
        <w:jc w:val="both"/>
        <w:rPr>
          <w:sz w:val="26"/>
          <w:szCs w:val="26"/>
        </w:rPr>
      </w:pPr>
    </w:p>
    <w:p w:rsidR="00B13186" w:rsidRPr="00B13186" w:rsidRDefault="00B13186" w:rsidP="00B13186">
      <w:pPr>
        <w:spacing w:line="360" w:lineRule="auto"/>
        <w:ind w:firstLine="567"/>
        <w:jc w:val="both"/>
        <w:rPr>
          <w:sz w:val="26"/>
          <w:szCs w:val="26"/>
        </w:rPr>
      </w:pPr>
    </w:p>
    <w:p w:rsidR="0063263D" w:rsidRDefault="0063263D" w:rsidP="00B82A3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Республикалöн тариф службаса </w:t>
      </w:r>
    </w:p>
    <w:p w:rsidR="00B82A38" w:rsidRPr="00B13186" w:rsidRDefault="0063263D" w:rsidP="00B82A3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ю</w:t>
      </w:r>
      <w:r w:rsidR="00B82A38" w:rsidRPr="00B13186">
        <w:rPr>
          <w:sz w:val="26"/>
          <w:szCs w:val="26"/>
        </w:rPr>
        <w:t xml:space="preserve">рнуöдысьлысь могъяс олöмö пöртысь           </w:t>
      </w:r>
      <w:r w:rsidR="007E007E">
        <w:rPr>
          <w:sz w:val="26"/>
          <w:szCs w:val="26"/>
        </w:rPr>
        <w:t xml:space="preserve">           </w:t>
      </w:r>
      <w:r w:rsidR="00B82A38" w:rsidRPr="00B13186">
        <w:rPr>
          <w:sz w:val="26"/>
          <w:szCs w:val="26"/>
        </w:rPr>
        <w:t xml:space="preserve">                  </w:t>
      </w:r>
      <w:r w:rsidR="00D7294B">
        <w:rPr>
          <w:sz w:val="26"/>
          <w:szCs w:val="26"/>
        </w:rPr>
        <w:t xml:space="preserve">   </w:t>
      </w:r>
      <w:r w:rsidR="00B82A38" w:rsidRPr="00B13186">
        <w:rPr>
          <w:sz w:val="26"/>
          <w:szCs w:val="26"/>
        </w:rPr>
        <w:t xml:space="preserve">   И.Е.Перваков</w:t>
      </w:r>
    </w:p>
    <w:p w:rsidR="00B82A38" w:rsidRPr="00B13186" w:rsidRDefault="00B82A38" w:rsidP="00B82A38">
      <w:pPr>
        <w:spacing w:line="360" w:lineRule="auto"/>
        <w:jc w:val="both"/>
        <w:rPr>
          <w:b/>
          <w:sz w:val="26"/>
          <w:szCs w:val="26"/>
        </w:rPr>
      </w:pPr>
    </w:p>
    <w:p w:rsidR="00B82A38" w:rsidRPr="00B13186" w:rsidRDefault="00B82A38" w:rsidP="00B82A38">
      <w:pPr>
        <w:spacing w:line="360" w:lineRule="auto"/>
        <w:jc w:val="both"/>
        <w:rPr>
          <w:sz w:val="26"/>
          <w:szCs w:val="26"/>
        </w:rPr>
      </w:pPr>
    </w:p>
    <w:p w:rsidR="00B82A38" w:rsidRDefault="00B82A38" w:rsidP="00B82A38">
      <w:pPr>
        <w:spacing w:line="360" w:lineRule="auto"/>
        <w:jc w:val="both"/>
        <w:rPr>
          <w:sz w:val="26"/>
          <w:szCs w:val="26"/>
        </w:rPr>
      </w:pPr>
      <w:r w:rsidRPr="00B13186">
        <w:rPr>
          <w:sz w:val="26"/>
          <w:szCs w:val="26"/>
        </w:rPr>
        <w:t>2011 вося урасьöм тöлысь 16 лун</w:t>
      </w:r>
    </w:p>
    <w:p w:rsidR="00D7294B" w:rsidRDefault="00D7294B" w:rsidP="00B82A38">
      <w:pPr>
        <w:spacing w:line="360" w:lineRule="auto"/>
        <w:jc w:val="both"/>
        <w:rPr>
          <w:sz w:val="26"/>
          <w:szCs w:val="26"/>
        </w:rPr>
      </w:pPr>
    </w:p>
    <w:p w:rsidR="00B82A38" w:rsidRPr="0049069C" w:rsidRDefault="00D7294B" w:rsidP="0049069C">
      <w:pPr>
        <w:spacing w:line="360" w:lineRule="auto"/>
        <w:jc w:val="both"/>
        <w:rPr>
          <w:sz w:val="20"/>
          <w:szCs w:val="20"/>
        </w:rPr>
      </w:pPr>
      <w:r w:rsidRPr="00D7294B">
        <w:rPr>
          <w:sz w:val="20"/>
          <w:szCs w:val="20"/>
        </w:rPr>
        <w:t xml:space="preserve">Вудж. Кузнецова. Н.А., </w:t>
      </w:r>
      <w:r>
        <w:rPr>
          <w:sz w:val="20"/>
          <w:szCs w:val="20"/>
        </w:rPr>
        <w:t xml:space="preserve">1 666 </w:t>
      </w:r>
      <w:r w:rsidRPr="00D7294B">
        <w:rPr>
          <w:sz w:val="20"/>
          <w:szCs w:val="20"/>
        </w:rPr>
        <w:t>пас</w:t>
      </w:r>
    </w:p>
    <w:sectPr w:rsidR="00B82A38" w:rsidRPr="0049069C" w:rsidSect="002011AF">
      <w:footerReference w:type="even" r:id="rId6"/>
      <w:foot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454" w:rsidRDefault="00614454" w:rsidP="007E007E">
      <w:r>
        <w:separator/>
      </w:r>
    </w:p>
  </w:endnote>
  <w:endnote w:type="continuationSeparator" w:id="1">
    <w:p w:rsidR="00614454" w:rsidRDefault="00614454" w:rsidP="007E0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AF" w:rsidRDefault="00CF7695" w:rsidP="002011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11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1AF" w:rsidRDefault="002011AF" w:rsidP="00201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9253"/>
      <w:docPartObj>
        <w:docPartGallery w:val="Page Numbers (Bottom of Page)"/>
        <w:docPartUnique/>
      </w:docPartObj>
    </w:sdtPr>
    <w:sdtContent>
      <w:p w:rsidR="007E007E" w:rsidRDefault="00CF7695">
        <w:pPr>
          <w:pStyle w:val="a3"/>
          <w:jc w:val="center"/>
        </w:pPr>
        <w:fldSimple w:instr=" PAGE   \* MERGEFORMAT ">
          <w:r w:rsidR="005F10F1">
            <w:rPr>
              <w:noProof/>
            </w:rPr>
            <w:t>1</w:t>
          </w:r>
        </w:fldSimple>
      </w:p>
    </w:sdtContent>
  </w:sdt>
  <w:p w:rsidR="002011AF" w:rsidRDefault="002011AF" w:rsidP="002011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454" w:rsidRDefault="00614454" w:rsidP="007E007E">
      <w:r>
        <w:separator/>
      </w:r>
    </w:p>
  </w:footnote>
  <w:footnote w:type="continuationSeparator" w:id="1">
    <w:p w:rsidR="00614454" w:rsidRDefault="00614454" w:rsidP="007E0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A38"/>
    <w:rsid w:val="00085208"/>
    <w:rsid w:val="001D5E36"/>
    <w:rsid w:val="002011AF"/>
    <w:rsid w:val="00267FA1"/>
    <w:rsid w:val="0033136F"/>
    <w:rsid w:val="004248A8"/>
    <w:rsid w:val="0049069C"/>
    <w:rsid w:val="005A4BA1"/>
    <w:rsid w:val="005C07FB"/>
    <w:rsid w:val="005F10F1"/>
    <w:rsid w:val="00614454"/>
    <w:rsid w:val="0063263D"/>
    <w:rsid w:val="00663E79"/>
    <w:rsid w:val="00764C76"/>
    <w:rsid w:val="007759B4"/>
    <w:rsid w:val="007E007E"/>
    <w:rsid w:val="00827B9A"/>
    <w:rsid w:val="00A66676"/>
    <w:rsid w:val="00B13186"/>
    <w:rsid w:val="00B82A38"/>
    <w:rsid w:val="00C07029"/>
    <w:rsid w:val="00CF7695"/>
    <w:rsid w:val="00D359C9"/>
    <w:rsid w:val="00D7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2A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8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2A38"/>
  </w:style>
  <w:style w:type="table" w:styleId="a6">
    <w:name w:val="Table Grid"/>
    <w:basedOn w:val="a1"/>
    <w:uiPriority w:val="59"/>
    <w:rsid w:val="00B82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E0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0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262</Words>
  <Characters>1673</Characters>
  <Application>Microsoft Office Word</Application>
  <DocSecurity>0</DocSecurity>
  <Lines>70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2011-05-05T04:50:00Z</cp:lastPrinted>
  <dcterms:created xsi:type="dcterms:W3CDTF">2011-05-04T08:28:00Z</dcterms:created>
  <dcterms:modified xsi:type="dcterms:W3CDTF">2011-05-05T04:51:00Z</dcterms:modified>
</cp:coreProperties>
</file>