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32" w:rsidRDefault="00B21D32" w:rsidP="00B21D32">
      <w:pPr>
        <w:pStyle w:val="a3"/>
      </w:pPr>
      <w:r>
        <w:t>КОМИ РЕСПУБЛИКАСА ЮРАЛЫСЬЛÖН</w:t>
      </w:r>
      <w:r>
        <w:br/>
        <w:t>ИНДÖД</w:t>
      </w:r>
      <w:r>
        <w:br/>
      </w:r>
    </w:p>
    <w:p w:rsidR="007712FF" w:rsidRDefault="00B21D32" w:rsidP="00B21D32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общественнöй палатаö </w:t>
      </w:r>
    </w:p>
    <w:p w:rsidR="00B21D32" w:rsidRDefault="00B21D32" w:rsidP="00B21D32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пырысьясöс индöм йылысь</w:t>
      </w:r>
    </w:p>
    <w:p w:rsidR="00B21D32" w:rsidRDefault="00B21D32" w:rsidP="00B21D32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B21D32" w:rsidRDefault="00B21D32" w:rsidP="00B21D32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B21D32" w:rsidRDefault="00B21D32" w:rsidP="00B21D3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общественнöй палата йылысь» Коми Республикаса Оланпас серти шуа:</w:t>
      </w:r>
    </w:p>
    <w:p w:rsidR="002F66C8" w:rsidRDefault="002F66C8" w:rsidP="00B21D3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Индыны Коми Республикаса общественнöй палатаö пырысьясöн татшöм йöзöс:</w:t>
      </w:r>
    </w:p>
    <w:p w:rsidR="002F66C8" w:rsidRDefault="002F66C8" w:rsidP="00B21D32">
      <w:pPr>
        <w:spacing w:line="360" w:lineRule="auto"/>
        <w:ind w:right="-96"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5777"/>
      </w:tblGrid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Байда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Андреевич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6B09A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«Афганистан</w:t>
            </w:r>
            <w:r w:rsidR="00FA5DB8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ветеранъяслöн Россияса котыр» ставроссияса общественнöй организациялöн Коми республиканскöй организациялöн правлениеса веськöдлысь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Бурдаев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6B09A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Республикаын «МедиаСоюз» йöзöс юöртан средствоса уджалысьяслöн ставроссияса общественнöй организациялöн региональнöй юкöнса збыльмöдысь директорöс вежысь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Вологин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6B09A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«Ухтаса государственнöй техническöй университет» вылыс уджсикасö велöдан государственнöй учреждениелöн философия, социология да политология кафедраса доцент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Тихонович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4C73C6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712FF">
              <w:rPr>
                <w:sz w:val="28"/>
                <w:szCs w:val="28"/>
              </w:rPr>
              <w:t>о</w:t>
            </w:r>
            <w:r w:rsidR="00C179C3">
              <w:rPr>
                <w:sz w:val="28"/>
                <w:szCs w:val="28"/>
              </w:rPr>
              <w:t>йнаса, удж</w:t>
            </w:r>
            <w:r w:rsidR="00FA5DB8">
              <w:rPr>
                <w:sz w:val="28"/>
                <w:szCs w:val="28"/>
              </w:rPr>
              <w:t>вывса</w:t>
            </w:r>
            <w:r w:rsidR="00C179C3">
              <w:rPr>
                <w:sz w:val="28"/>
                <w:szCs w:val="28"/>
              </w:rPr>
              <w:t>, Вооруженнöй Вынъяс</w:t>
            </w:r>
            <w:r w:rsidR="00FA5DB8">
              <w:rPr>
                <w:sz w:val="28"/>
                <w:szCs w:val="28"/>
              </w:rPr>
              <w:t>са</w:t>
            </w:r>
            <w:r w:rsidR="00C179C3">
              <w:rPr>
                <w:sz w:val="28"/>
                <w:szCs w:val="28"/>
              </w:rPr>
              <w:t xml:space="preserve"> да право видзан органъяс</w:t>
            </w:r>
            <w:r w:rsidR="007712FF">
              <w:rPr>
                <w:sz w:val="28"/>
                <w:szCs w:val="28"/>
              </w:rPr>
              <w:t>са</w:t>
            </w:r>
            <w:r w:rsidR="00C179C3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етеранъяслöн (пенсионеръяслöн) Коми республиканскöй</w:t>
            </w:r>
            <w:r w:rsidR="007712FF">
              <w:rPr>
                <w:sz w:val="28"/>
                <w:szCs w:val="28"/>
              </w:rPr>
              <w:t xml:space="preserve"> общественнöй организация</w:t>
            </w:r>
            <w:r>
              <w:rPr>
                <w:sz w:val="28"/>
                <w:szCs w:val="28"/>
              </w:rPr>
              <w:t xml:space="preserve"> сöветса веськöдлысьöс медводдза вежысь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Иванова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7712F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Россияса СОЦПРОФ профсоюз öтувлöн Коми региональнöй котырса веськöдлысь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Колпащикова Маргарита Михайловна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7712F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«Вермытöмъяслöн ставроссияса котыр» ставроссияса общественнöй организациялöн Коми республиканскöй орг</w:t>
            </w:r>
            <w:r w:rsidR="00FA5DB8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из</w:t>
            </w:r>
            <w:r w:rsidR="00FA5DB8">
              <w:rPr>
                <w:sz w:val="28"/>
                <w:szCs w:val="28"/>
              </w:rPr>
              <w:t>ациялöн Ухта карса организацияöн</w:t>
            </w:r>
            <w:r>
              <w:rPr>
                <w:sz w:val="28"/>
                <w:szCs w:val="28"/>
              </w:rPr>
              <w:t xml:space="preserve"> веськöдлысь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Кулимова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Васильевна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7712F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«Коми Республикаса аньяслöн котыр» общественнöй организация президиумö пырысь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Поташов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Валентинович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7712F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«РОССИЯСА ОПОРА» ичöт да шöр предпринимательство ставроссияса общественнöй организациялöн Коми республиканскöй юкöнса веськöдлысьöс вежысь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Томов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7712F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«Газпроммедсервис» ИКК-лöн веськöдланiнса начальник</w:t>
            </w:r>
          </w:p>
        </w:tc>
      </w:tr>
      <w:tr w:rsidR="002F66C8" w:rsidTr="006B09AF">
        <w:tc>
          <w:tcPr>
            <w:tcW w:w="3085" w:type="dxa"/>
          </w:tcPr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</w:t>
            </w:r>
          </w:p>
          <w:p w:rsidR="002F66C8" w:rsidRDefault="002F66C8" w:rsidP="002F66C8">
            <w:pPr>
              <w:spacing w:line="360" w:lineRule="auto"/>
              <w:ind w:right="-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Алексеевич (игумен Филипп)</w:t>
            </w:r>
          </w:p>
        </w:tc>
        <w:tc>
          <w:tcPr>
            <w:tcW w:w="709" w:type="dxa"/>
          </w:tcPr>
          <w:p w:rsidR="002F66C8" w:rsidRDefault="002F66C8" w:rsidP="002F66C8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F66C8" w:rsidRDefault="007712FF" w:rsidP="00B21D32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Сыктывкарса да Воркутаса епархиялöн секретар, Сыктывкарса да Воркутаса епархиялöн Коми Республикаын Сыктывкарса Вежа Казанскöй храмын настоятель.</w:t>
            </w:r>
          </w:p>
        </w:tc>
      </w:tr>
    </w:tbl>
    <w:p w:rsidR="002F66C8" w:rsidRDefault="002F66C8" w:rsidP="00B21D3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B21D32" w:rsidRDefault="002F66C8" w:rsidP="00B21D3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Вöзйыны Коми Республикаса общественнöй палатаö пырысьяслы, кодъясöс индöма тайö Индöдöн, öтлаын Коми Республикаса общественнöй палатаö пырысьяскöд, кодъясöс индiс Коми Республикаса Государственнöй Сöвет, сэтчö </w:t>
      </w:r>
      <w:r w:rsidR="004D7453">
        <w:rPr>
          <w:sz w:val="28"/>
          <w:szCs w:val="28"/>
        </w:rPr>
        <w:t xml:space="preserve">став </w:t>
      </w:r>
      <w:r>
        <w:rPr>
          <w:sz w:val="28"/>
          <w:szCs w:val="28"/>
        </w:rPr>
        <w:t>пырысьлы заводитны лöсьöдны Коми Республикаса общественнöй палата.</w:t>
      </w:r>
    </w:p>
    <w:p w:rsidR="002F66C8" w:rsidRDefault="002F66C8" w:rsidP="00B21D32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Тайö Индöдыс вынсялö сiйöс официальнöя йöзöдан лунсянь.</w:t>
      </w:r>
    </w:p>
    <w:p w:rsidR="002F66C8" w:rsidRDefault="002F66C8" w:rsidP="00B21D3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4D7453" w:rsidRDefault="004D7453" w:rsidP="00B21D32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B21D32" w:rsidRDefault="00B21D32" w:rsidP="00B21D3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    В.Гайзер</w:t>
      </w:r>
    </w:p>
    <w:p w:rsidR="00B21D32" w:rsidRDefault="00B21D32" w:rsidP="00B21D3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Сыктывкар</w:t>
      </w:r>
    </w:p>
    <w:p w:rsidR="00B21D32" w:rsidRDefault="00B21D32" w:rsidP="00B21D3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23 лун</w:t>
      </w:r>
    </w:p>
    <w:p w:rsidR="00B21D32" w:rsidRDefault="00B21D32" w:rsidP="00B21D3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 № </w:t>
      </w:r>
    </w:p>
    <w:p w:rsidR="00B21D32" w:rsidRDefault="00B21D32" w:rsidP="00B21D32">
      <w:pPr>
        <w:spacing w:line="360" w:lineRule="auto"/>
        <w:ind w:right="-96"/>
        <w:jc w:val="both"/>
        <w:rPr>
          <w:sz w:val="28"/>
          <w:szCs w:val="28"/>
        </w:rPr>
      </w:pPr>
    </w:p>
    <w:p w:rsidR="00B21D32" w:rsidRDefault="00B21D32" w:rsidP="00B21D32">
      <w:pPr>
        <w:spacing w:line="360" w:lineRule="auto"/>
        <w:ind w:right="-96"/>
        <w:jc w:val="both"/>
        <w:rPr>
          <w:sz w:val="28"/>
          <w:szCs w:val="28"/>
        </w:rPr>
      </w:pPr>
    </w:p>
    <w:p w:rsidR="00B21D32" w:rsidRDefault="00B21D32" w:rsidP="00B21D32">
      <w:pPr>
        <w:spacing w:line="360" w:lineRule="auto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Вуджöдiс Кузнецова Н.А., </w:t>
      </w:r>
      <w:r w:rsidR="004D7453">
        <w:rPr>
          <w:sz w:val="24"/>
          <w:szCs w:val="24"/>
        </w:rPr>
        <w:t xml:space="preserve">2 039 </w:t>
      </w:r>
      <w:r>
        <w:rPr>
          <w:sz w:val="24"/>
          <w:szCs w:val="24"/>
        </w:rPr>
        <w:t>пас</w:t>
      </w:r>
    </w:p>
    <w:p w:rsidR="00B21D32" w:rsidRDefault="00B21D32" w:rsidP="00B21D32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9FB" w:rsidRDefault="007C59FB" w:rsidP="007712FF">
      <w:r>
        <w:separator/>
      </w:r>
    </w:p>
  </w:endnote>
  <w:endnote w:type="continuationSeparator" w:id="1">
    <w:p w:rsidR="007C59FB" w:rsidRDefault="007C59FB" w:rsidP="0077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3641"/>
      <w:docPartObj>
        <w:docPartGallery w:val="Page Numbers (Bottom of Page)"/>
        <w:docPartUnique/>
      </w:docPartObj>
    </w:sdtPr>
    <w:sdtContent>
      <w:p w:rsidR="007712FF" w:rsidRDefault="003F05EE">
        <w:pPr>
          <w:pStyle w:val="a8"/>
          <w:jc w:val="center"/>
        </w:pPr>
        <w:fldSimple w:instr=" PAGE   \* MERGEFORMAT ">
          <w:r w:rsidR="00FA5DB8">
            <w:rPr>
              <w:noProof/>
            </w:rPr>
            <w:t>3</w:t>
          </w:r>
        </w:fldSimple>
      </w:p>
    </w:sdtContent>
  </w:sdt>
  <w:p w:rsidR="007712FF" w:rsidRDefault="007712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9FB" w:rsidRDefault="007C59FB" w:rsidP="007712FF">
      <w:r>
        <w:separator/>
      </w:r>
    </w:p>
  </w:footnote>
  <w:footnote w:type="continuationSeparator" w:id="1">
    <w:p w:rsidR="007C59FB" w:rsidRDefault="007C59FB" w:rsidP="00771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D32"/>
    <w:rsid w:val="00062F16"/>
    <w:rsid w:val="00085208"/>
    <w:rsid w:val="002F66C8"/>
    <w:rsid w:val="0033136F"/>
    <w:rsid w:val="003F05EE"/>
    <w:rsid w:val="004C73C6"/>
    <w:rsid w:val="004D7453"/>
    <w:rsid w:val="005C07FB"/>
    <w:rsid w:val="00641430"/>
    <w:rsid w:val="00663E79"/>
    <w:rsid w:val="006B09AF"/>
    <w:rsid w:val="007712FF"/>
    <w:rsid w:val="007759B4"/>
    <w:rsid w:val="007C59FB"/>
    <w:rsid w:val="00827B9A"/>
    <w:rsid w:val="00B21D32"/>
    <w:rsid w:val="00C179C3"/>
    <w:rsid w:val="00C559B5"/>
    <w:rsid w:val="00FA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1D32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21D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F6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71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1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1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2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2010-12-09T07:53:00Z</cp:lastPrinted>
  <dcterms:created xsi:type="dcterms:W3CDTF">2010-12-09T07:18:00Z</dcterms:created>
  <dcterms:modified xsi:type="dcterms:W3CDTF">2010-12-14T14:00:00Z</dcterms:modified>
</cp:coreProperties>
</file>