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6"/>
        <w:spacing w:line="360" w:lineRule="auto"/>
        <w:jc w:val="both"/>
      </w:pPr>
      <w:r>
        <w:rPr>
          <w:rFonts w:ascii="Times New Roman" w:cs="Times New Roman" w:hAnsi="Times New Roman"/>
          <w:b/>
          <w:lang w:val="kpv-RU"/>
        </w:rPr>
        <w:t>АЛЕКСАНДР АЛЕКСАНДРОВИЧ БУРОВ</w:t>
      </w:r>
    </w:p>
    <w:p>
      <w:pPr>
        <w:pStyle w:val="style0"/>
        <w:spacing w:line="360" w:lineRule="auto"/>
      </w:pPr>
      <w:r>
        <w:rPr/>
      </w:r>
    </w:p>
    <w:p>
      <w:pPr>
        <w:pStyle w:val="style24"/>
        <w:spacing w:line="360" w:lineRule="auto"/>
        <w:jc w:val="both"/>
      </w:pPr>
      <w:r>
        <w:rPr>
          <w:lang w:val="kpv-RU"/>
        </w:rPr>
        <w:t>Чужис 1954 вося сора тӧлысь 20 лунӧ Нижегородскӧй обласьтса Дзержинск карын.</w:t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0" w:linePitch="240" w:type="default"/>
        </w:sectPr>
      </w:pPr>
    </w:p>
    <w:p>
      <w:pPr>
        <w:pStyle w:val="style24"/>
        <w:spacing w:line="360" w:lineRule="auto"/>
        <w:jc w:val="both"/>
      </w:pPr>
      <w:r>
        <w:rPr/>
      </w:r>
    </w:p>
    <w:p>
      <w:pPr>
        <w:pStyle w:val="style24"/>
        <w:spacing w:line="360" w:lineRule="auto"/>
        <w:jc w:val="both"/>
      </w:pPr>
      <w:r>
        <w:rPr>
          <w:lang w:val="kpv-RU"/>
        </w:rPr>
        <w:t xml:space="preserve">Вылыс тӧдӧмлуна. 1977 воын помаліс Ва транспортса инженеръяслысь Горьковскӧй институт. </w:t>
      </w:r>
      <w:r>
        <w:rPr>
          <w:lang w:val="kpv-RU"/>
        </w:rPr>
        <w:t>У</w:t>
      </w:r>
      <w:r>
        <w:rPr>
          <w:lang w:val="kpv-RU"/>
        </w:rPr>
        <w:t>джсикасыс «Судӧвӧй машинаяс да механизмъяс».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1990 воын – Ленинградса вылыс партийнӧй школа. Уджсикасыс – «Партийнӧй да сӧветскӧй стрӧитчӧм».</w:t>
      </w:r>
    </w:p>
    <w:p>
      <w:pPr>
        <w:pStyle w:val="style24"/>
        <w:spacing w:line="360" w:lineRule="auto"/>
        <w:jc w:val="both"/>
      </w:pPr>
      <w:r>
        <w:rPr/>
      </w:r>
    </w:p>
    <w:p>
      <w:pPr>
        <w:pStyle w:val="style24"/>
        <w:spacing w:line="360" w:lineRule="auto"/>
        <w:jc w:val="both"/>
      </w:pPr>
      <w:r>
        <w:rPr>
          <w:lang w:val="kpv-RU"/>
        </w:rPr>
        <w:t>1977 восянь – Печораса ювыв пароходствоын веськӧдланінса инженер.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1979 восянь – ВЛКСМ Печорскӧй горкомса мӧд секретар, медводдза секретар.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1984 восянь – КПСС Печорскӧй горкомын удж котыртан юкӧнса инструктор, удж котыртан юкӧнӧн веськӧдлысь.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1988 восянь – «Луговое» производственнӧй котырса медыджыд директорӧс вежысь.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1989 восянь – «Луговое» производственнӧй котырын парткомса секретар, КПСС Печорскӧй горкомын «Печора» совхозлӧн парткомса секретар.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1990 восянь – РСФСР КП Коми рескомса секретар.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1991 восянь – «Печорлэнд» ПАК-са коммерческӧй директор.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1993 восянь – «Миян удж» ичӧт предприятиеса коммерческӧй директор.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 xml:space="preserve">1994 восянь – банкса директор – «Комибанк» АКБ Войтырсикас йитӧдъяс да валютно-финансӧвӧй операцияяс веськӧдланінса начальник, «Комибанк» АКБ директоръяс </w:t>
      </w:r>
      <w:r>
        <w:rPr>
          <w:lang w:val="kpv-RU"/>
        </w:rPr>
        <w:t>с</w:t>
      </w:r>
      <w:r>
        <w:rPr>
          <w:lang w:val="kpv-RU"/>
        </w:rPr>
        <w:t>ӧветса веськӧдлысь.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1997 восянь – Сыктывкарса филиалын «Банк Менатеп» ВАК петкӧдлысь.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1997 восянь – Правлениеса веськӧдлысьӧс вежысь – Сыктывкар филиалса директор, «Ухтабанк» Коми региональнӧй банк» ВАК Сыктывкарын филиалса директор.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 xml:space="preserve">1998 восянь </w:t>
      </w:r>
      <w:r>
        <w:rPr>
          <w:lang w:val="kpv-RU"/>
        </w:rPr>
        <w:t xml:space="preserve">- </w:t>
      </w:r>
      <w:r>
        <w:rPr>
          <w:lang w:val="kpv-RU"/>
        </w:rPr>
        <w:t>Россия Федерацияса Сберегательнӧй банклӧн Коми банкса веськӧдлысьӧс вежысь, Россияса Сбербанклӧн Коми банк</w:t>
      </w:r>
      <w:r>
        <w:rPr>
          <w:lang w:val="kpv-RU"/>
        </w:rPr>
        <w:t>ын</w:t>
      </w:r>
      <w:r>
        <w:rPr>
          <w:lang w:val="kpv-RU"/>
        </w:rPr>
        <w:t xml:space="preserve"> Россияса Сбербанклӧн 8617 №-а Коми юкӧнса веськӧдлысьӧс вежысь.</w:t>
      </w:r>
    </w:p>
    <w:p>
      <w:pPr>
        <w:pStyle w:val="style24"/>
        <w:spacing w:line="360" w:lineRule="auto"/>
        <w:jc w:val="both"/>
      </w:pPr>
      <w:r>
        <w:rPr>
          <w:lang w:val="kpv-RU"/>
        </w:rPr>
        <w:t>2010 восянь – Коми Республикаса Юралысьӧс вежысь.</w:t>
      </w:r>
    </w:p>
    <w:p>
      <w:pPr>
        <w:pStyle w:val="style24"/>
        <w:spacing w:line="360" w:lineRule="auto"/>
        <w:jc w:val="both"/>
      </w:pPr>
      <w:r>
        <w:rPr/>
      </w:r>
    </w:p>
    <w:p>
      <w:pPr>
        <w:pStyle w:val="style24"/>
        <w:spacing w:line="360" w:lineRule="auto"/>
        <w:jc w:val="both"/>
      </w:pPr>
      <w:r>
        <w:rPr>
          <w:lang w:val="kpv-RU"/>
        </w:rPr>
        <w:t>2010 вося урасьӧм тӧлысь 10 лунся Коми Республикаса Юралысьлӧн тшӧктӧмӧн индӧма Коми Республикаса Юралысьӧс вежысь чинӧ.</w:t>
      </w:r>
    </w:p>
    <w:p>
      <w:pPr>
        <w:pStyle w:val="style24"/>
        <w:spacing w:line="360" w:lineRule="auto"/>
        <w:jc w:val="both"/>
      </w:pPr>
      <w:r>
        <w:rPr/>
      </w:r>
    </w:p>
    <w:p>
      <w:pPr>
        <w:pStyle w:val="style24"/>
        <w:spacing w:after="120" w:before="0" w:line="360" w:lineRule="auto"/>
        <w:contextualSpacing w:val="false"/>
        <w:jc w:val="both"/>
      </w:pPr>
      <w:r>
        <w:rPr>
          <w:lang w:val="kpv-RU"/>
        </w:rPr>
        <w:t>2001 воын сетӧма Коми Республикаса Каналан Сӧветлысь Почёт грамота, 2004 воын – Коми Республикаса Почёт грамота.</w:t>
      </w:r>
    </w:p>
    <w:p>
      <w:pPr>
        <w:sectPr>
          <w:type w:val="continuous"/>
          <w:pgSz w:h="16838" w:w="11906"/>
          <w:pgMar w:bottom="1134" w:footer="0" w:gutter="0" w:header="0" w:left="1134" w:right="1134" w:top="1134"/>
          <w:formProt w:val="false"/>
          <w:textDirection w:val="lrTb"/>
          <w:docGrid w:charSpace="0" w:linePitch="240" w:type="default"/>
        </w:sectPr>
      </w:pPr>
    </w:p>
    <w:sectPr>
      <w:type w:val="continuous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Times New Roman">
    <w:charset w:val="80"/>
    <w:family w:val="swiss"/>
    <w:pitch w:val="variable"/>
  </w:font>
  <w:font w:name="Arial">
    <w:charset w:val="80"/>
    <w:family w:val="swiss"/>
    <w:pitch w:val="variable"/>
  </w:font>
  <w:font w:name="Arial">
    <w:charset w:val="80"/>
    <w:family w:val="roman"/>
    <w:pitch w:val="variable"/>
  </w:font>
  <w:font w:name="Courier New"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false"/>
    </w:pPr>
    <w:rPr>
      <w:rFonts w:ascii="Times New Roman" w:cs="Lohit Devanagari" w:eastAsia="Bitstream Vera Sans" w:hAnsi="Times New Roman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23"/>
    <w:next w:val="style1"/>
    <w:pPr/>
    <w:rPr>
      <w:b/>
      <w:bCs/>
      <w:sz w:val="32"/>
      <w:szCs w:val="32"/>
    </w:rPr>
  </w:style>
  <w:style w:styleId="style2" w:type="paragraph">
    <w:name w:val="Заголовок 2"/>
    <w:basedOn w:val="style23"/>
    <w:next w:val="style2"/>
    <w:pPr/>
    <w:rPr>
      <w:b/>
      <w:bCs/>
      <w:i/>
      <w:iCs/>
      <w:sz w:val="28"/>
      <w:szCs w:val="28"/>
    </w:rPr>
  </w:style>
  <w:style w:styleId="style3" w:type="paragraph">
    <w:name w:val="Заголовок 3"/>
    <w:basedOn w:val="style23"/>
    <w:next w:val="style3"/>
    <w:pPr/>
    <w:rPr>
      <w:rFonts w:ascii="Times New Roman" w:cs="Lohit Devanagari" w:eastAsia="Bitstream Vera Sans" w:hAnsi="Times New Roman"/>
      <w:b/>
      <w:bCs/>
      <w:sz w:val="28"/>
      <w:szCs w:val="28"/>
    </w:rPr>
  </w:style>
  <w:style w:styleId="style4" w:type="paragraph">
    <w:name w:val="Заголовок 4"/>
    <w:basedOn w:val="style23"/>
    <w:next w:val="style4"/>
    <w:pPr/>
    <w:rPr/>
  </w:style>
  <w:style w:styleId="style15" w:type="character">
    <w:name w:val="Интернет-ссылка"/>
    <w:next w:val="style15"/>
    <w:rPr>
      <w:color w:val="000080"/>
      <w:u w:val="single"/>
      <w:lang w:bidi="zxx-" w:eastAsia="zxx-" w:val="zxx-"/>
    </w:rPr>
  </w:style>
  <w:style w:styleId="style16" w:type="character">
    <w:name w:val="Выделение"/>
    <w:next w:val="style16"/>
    <w:rPr>
      <w:i/>
      <w:iCs/>
    </w:rPr>
  </w:style>
  <w:style w:styleId="style17" w:type="character">
    <w:name w:val="WW8Num2z0"/>
    <w:next w:val="style17"/>
    <w:rPr>
      <w:rFonts w:ascii="Times New Roman" w:cs="Times New Roman" w:hAnsi="Times New Roman"/>
      <w:sz w:val="10"/>
      <w:szCs w:val="10"/>
    </w:rPr>
  </w:style>
  <w:style w:styleId="style18" w:type="character">
    <w:name w:val="WW8Num2z1"/>
    <w:next w:val="style18"/>
    <w:rPr>
      <w:sz w:val="10"/>
      <w:szCs w:val="10"/>
    </w:rPr>
  </w:style>
  <w:style w:styleId="style19" w:type="character">
    <w:name w:val="WW8Num2ztrue"/>
    <w:next w:val="style19"/>
    <w:rPr/>
  </w:style>
  <w:style w:styleId="style20" w:type="character">
    <w:name w:val="ListLabel 1"/>
    <w:next w:val="style20"/>
    <w:rPr>
      <w:sz w:val="10"/>
      <w:szCs w:val="10"/>
    </w:rPr>
  </w:style>
  <w:style w:styleId="style21" w:type="character">
    <w:name w:val="INS"/>
    <w:next w:val="style21"/>
    <w:rPr/>
  </w:style>
  <w:style w:styleId="style22" w:type="character">
    <w:name w:val="Выделение жирным"/>
    <w:next w:val="style22"/>
    <w:rPr>
      <w:b/>
      <w:bCs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Lohit Devanagari" w:eastAsia="Bitstream Vera Sans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Lohit Devanagari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Lohit Devanagari"/>
    </w:rPr>
  </w:style>
  <w:style w:styleId="style28" w:type="paragraph">
    <w:name w:val="ConsPlusNormal"/>
    <w:next w:val="style28"/>
    <w:pPr>
      <w:widowControl w:val="false"/>
      <w:suppressAutoHyphens w:val="true"/>
      <w:ind w:firstLine="720" w:left="0" w:right="0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29" w:type="paragraph">
    <w:name w:val="ConsPlusCell"/>
    <w:next w:val="style29"/>
    <w:pPr>
      <w:widowControl w:val="false"/>
      <w:suppressAutoHyphens w:val="true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30" w:type="paragraph">
    <w:name w:val="Содержимое таблицы"/>
    <w:basedOn w:val="style0"/>
    <w:next w:val="style30"/>
    <w:pPr>
      <w:suppressLineNumbers/>
    </w:pPr>
    <w:rPr/>
  </w:style>
  <w:style w:styleId="style31" w:type="paragraph">
    <w:name w:val="Заголовок таблицы"/>
    <w:basedOn w:val="style30"/>
    <w:next w:val="style31"/>
    <w:pPr/>
    <w:rPr/>
  </w:style>
  <w:style w:styleId="style32" w:type="paragraph">
    <w:name w:val="Заголовок списка"/>
    <w:basedOn w:val="style0"/>
    <w:next w:val="style32"/>
    <w:pPr/>
    <w:rPr/>
  </w:style>
  <w:style w:styleId="style33" w:type="paragraph">
    <w:name w:val="  ConsPlusNormal"/>
    <w:next w:val="style33"/>
    <w:pPr>
      <w:widowControl/>
      <w:suppressAutoHyphens w:val="true"/>
    </w:pPr>
    <w:rPr>
      <w:rFonts w:ascii="Arial" w:cs="Tahoma" w:eastAsia="Arial" w:hAnsi="Arial"/>
      <w:b w:val="false"/>
      <w:i w:val="false"/>
      <w:color w:val="00000A"/>
      <w:sz w:val="20"/>
      <w:szCs w:val="24"/>
      <w:u w:val="none"/>
      <w:lang w:bidi="hi-IN" w:eastAsia="zh-CN" w:val="ru-RU"/>
    </w:rPr>
  </w:style>
  <w:style w:styleId="style34" w:type="paragraph">
    <w:name w:val="  ConsPlusCell"/>
    <w:next w:val="style34"/>
    <w:pPr>
      <w:widowControl/>
      <w:suppressAutoHyphens w:val="true"/>
    </w:pPr>
    <w:rPr>
      <w:rFonts w:ascii="Arial" w:cs="Tahoma" w:eastAsia="Arial" w:hAnsi="Arial"/>
      <w:b w:val="false"/>
      <w:i w:val="false"/>
      <w:color w:val="00000A"/>
      <w:sz w:val="20"/>
      <w:szCs w:val="24"/>
      <w:u w:val="none"/>
      <w:lang w:bidi="hi-IN" w:eastAsia="zh-CN" w:val="ru-RU"/>
    </w:rPr>
  </w:style>
  <w:style w:styleId="style35" w:type="paragraph">
    <w:name w:val="  ConsPlusNonformat"/>
    <w:next w:val="style35"/>
    <w:pPr>
      <w:widowControl/>
      <w:suppressAutoHyphens w:val="true"/>
    </w:pPr>
    <w:rPr>
      <w:rFonts w:ascii="Courier New" w:cs="Tahoma" w:eastAsia="Arial" w:hAnsi="Courier New"/>
      <w:b w:val="false"/>
      <w:i w:val="false"/>
      <w:color w:val="00000A"/>
      <w:sz w:val="20"/>
      <w:szCs w:val="24"/>
      <w:u w:val="none"/>
      <w:lang w:bidi="hi-IN" w:eastAsia="zh-CN" w:val="ru-RU"/>
    </w:rPr>
  </w:style>
  <w:style w:styleId="style36" w:type="paragraph">
    <w:name w:val="Без интервала"/>
    <w:next w:val="style36"/>
    <w:pPr>
      <w:widowControl/>
      <w:suppressAutoHyphens w:val="true"/>
    </w:pPr>
    <w:rPr>
      <w:rFonts w:ascii="Calibri" w:cs="Times New Roman" w:eastAsia="Times New Roman" w:hAnsi="Calibri"/>
      <w:color w:val="00000A"/>
      <w:sz w:val="22"/>
      <w:szCs w:val="22"/>
      <w:lang w:bidi="ar-SA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LibreOffice/4.0.3.3$Linux_x86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2013-05-13T10:21:04.00Z</dcterms:created>
  <dc:creator>ConsultantPlus</dc:creator>
  <cp:lastModifiedBy>User </cp:lastModifiedBy>
  <cp:lastPrinted>2013-06-13T15:49:58.00Z</cp:lastPrinted>
  <dcterms:modified xsi:type="dcterms:W3CDTF">2013-05-24T11:05:29.00Z</dcterms:modified>
  <cp:revision>2</cp:revision>
  <dc:title>Постановление Правительства РК от 08.04.2013 N 105"О внесении изменений в постановление Правительства Республики Коми от 28 марта 2011 г. N 87 "О программе "Модернизация здравоохранения Республики Коми на 2011 - 2012 годы"(вместе с "Перечнем оборудования, планируемого к приобретению в рамках программы "Модернизация здравоохранения Республики Коми на 2011 - 2013 годы")</dc:title>
</cp:coreProperties>
</file>