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Керки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-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 Ичӧт Пера выль туй восьтасны моз тӧлысь коймӧд декадаын.</w:t>
      </w:r>
    </w:p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Та йылысь Коми Республикаса Юралысь Вячеслав Гайзерлы талун юӧртіс дінмулӧн Туй агентствоса юрнуӧдысь Эдуард Слабиков. Вӧдитчӧм вылӧ индӧм участокъяслӧн ӧтувъя кузьтаыс, сы лыдын Вис посёлок дорӧ километрӧн-джынйӧн пыран туй, лоас 61,3 километр. Выль участок стрӧитан кад чӧжӧн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туй вӧчысь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яс дзоньталісны машина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ӧн ветлан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Улыс Одес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-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 Ичӧт Пера тӧ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вся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 туй. </w:t>
      </w:r>
    </w:p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Э. Слабиковлӧн кывъяс серти, ӧнія кадӧ помалӧны асфальта-бетона туй веркӧс лӧсьӧдан уджъяс Керки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-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 Кабанты-Вис ю участок вылын, нуӧдӧны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туй кузялаыс бурмӧдан уджъяс. Сылӧн тэчасӧ сідзжӧ пырисны Вис да 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й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юва юяс вомӧн автомашинаӧн вуджан кык пос да Москва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-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 Воркута кӧрт туй вомӧн путепровод.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    </w:t>
      </w:r>
    </w:p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Агентствоса юрнуӧдысь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тшӧтш висьталіс, мый тавося ода-кора - лӧддза-номъя тӧлысьясӧ Коми Республикаса Юралысьлӧн тшӧктӧм серти туй вӧчысьяс   бурмӧдісны “серпантин” туй, медым сы вывті вермисны лӧсьыда ветлыны грузӧвӧй да легкӧвӧй машинаяс. Э. Слабиков юӧртіс, мый Коми Республикаса Юралысь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Вячеслав Гайзерл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 xml:space="preserve">ӧн Ненецкӧй автономнӧй кытшса Губернатор Игорь Фёдоровкӧд аддзысьлӧм бӧрын “серпантин” вылын нуӧдан уджъяссӧ ӧттшӧтш кутасны могмӧдны сьӧмӧн и Ненецкӧй автономнӧй кытшса груз новлӧдлысьяс. Суседъяскӧд вынъяс ӧтувтӧмыс сетас позянлун бурмӧдны “серпантин” туйсӧ, кутшӧмӧн заводитасны вӧдитчыны трассалысь выль участок восьтытӧдз. </w:t>
      </w:r>
    </w:p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“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Талун автомашина туйсӧ стӧча стрӧитӧны вынсьӧдӧм графикъяс серти да позьӧ веськыда шуны, мый стрӧитан участокъяс вывті заводитасны ветлыны планируйтан кадколастъясӧ  – тавося моз тӧлысьын”, - тӧдчӧдіс Эдуард Слабиков.</w:t>
      </w:r>
    </w:p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style0"/>
        <w:spacing w:line="360" w:lineRule="auto"/>
        <w:ind w:firstLine="855" w:left="0" w:right="0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kpv-RU"/>
        </w:rPr>
        <w:t>***Выль туйсӧ стрӧитӧны “Трансстройсервис” да “Труддорстройпром” организацияяс.</w:t>
      </w:r>
    </w:p>
    <w:p>
      <w:pPr>
        <w:pStyle w:val="style0"/>
        <w:spacing w:line="360" w:lineRule="auto"/>
        <w:ind w:firstLine="855" w:left="0" w:right="0"/>
      </w:pPr>
      <w:r>
        <w:rPr>
          <w:lang w:val="kpv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swiss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false"/>
    </w:pPr>
    <w:rPr>
      <w:rFonts w:ascii="Times New Roman" w:cs="Lohit Devanagari" w:eastAsia="Bitstream Vera Sans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23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23"/>
    <w:next w:val="style2"/>
    <w:pPr/>
    <w:rPr>
      <w:b/>
      <w:bCs/>
      <w:i/>
      <w:iCs/>
      <w:sz w:val="28"/>
      <w:szCs w:val="28"/>
    </w:rPr>
  </w:style>
  <w:style w:styleId="style3" w:type="paragraph">
    <w:name w:val="Заголовок 3"/>
    <w:basedOn w:val="style23"/>
    <w:next w:val="style3"/>
    <w:pPr/>
    <w:rPr>
      <w:rFonts w:ascii="Times New Roman" w:cs="Lohit Devanagari" w:eastAsia="Bitstream Vera Sans" w:hAnsi="Times New Roman"/>
      <w:b/>
      <w:bCs/>
      <w:sz w:val="28"/>
      <w:szCs w:val="28"/>
    </w:rPr>
  </w:style>
  <w:style w:styleId="style4" w:type="paragraph">
    <w:name w:val="Заголовок 4"/>
    <w:basedOn w:val="style23"/>
    <w:next w:val="style4"/>
    <w:pPr/>
    <w:rPr/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Выделение"/>
    <w:next w:val="style16"/>
    <w:rPr>
      <w:i/>
      <w:iCs/>
    </w:rPr>
  </w:style>
  <w:style w:styleId="style17" w:type="character">
    <w:name w:val="WW8Num2z0"/>
    <w:next w:val="style17"/>
    <w:rPr>
      <w:rFonts w:ascii="Times New Roman" w:cs="Times New Roman" w:hAnsi="Times New Roman"/>
      <w:sz w:val="10"/>
      <w:szCs w:val="10"/>
    </w:rPr>
  </w:style>
  <w:style w:styleId="style18" w:type="character">
    <w:name w:val="WW8Num2z1"/>
    <w:next w:val="style18"/>
    <w:rPr>
      <w:sz w:val="10"/>
      <w:szCs w:val="10"/>
    </w:rPr>
  </w:style>
  <w:style w:styleId="style19" w:type="character">
    <w:name w:val="WW8Num2ztrue"/>
    <w:next w:val="style19"/>
    <w:rPr/>
  </w:style>
  <w:style w:styleId="style20" w:type="character">
    <w:name w:val="ListLabel 1"/>
    <w:next w:val="style20"/>
    <w:rPr>
      <w:sz w:val="10"/>
      <w:szCs w:val="10"/>
    </w:rPr>
  </w:style>
  <w:style w:styleId="style21" w:type="character">
    <w:name w:val="INS"/>
    <w:next w:val="style21"/>
    <w:rPr/>
  </w:style>
  <w:style w:styleId="style22" w:type="character">
    <w:name w:val="Выделение жирным"/>
    <w:next w:val="style22"/>
    <w:rPr>
      <w:b/>
      <w:bCs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Lohit Devanagari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Devanagari"/>
    </w:rPr>
  </w:style>
  <w:style w:styleId="style28" w:type="paragraph">
    <w:name w:val="ConsPlusNormal"/>
    <w:next w:val="style28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9" w:type="paragraph">
    <w:name w:val="ConsPlusCell"/>
    <w:next w:val="style29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/>
    <w:rPr/>
  </w:style>
  <w:style w:styleId="style32" w:type="paragraph">
    <w:name w:val="Заголовок списка"/>
    <w:basedOn w:val="style0"/>
    <w:next w:val="style32"/>
    <w:pPr/>
    <w:rPr/>
  </w:style>
  <w:style w:styleId="style33" w:type="paragraph">
    <w:name w:val="  ConsPlusNormal"/>
    <w:next w:val="style33"/>
    <w:pPr>
      <w:widowControl/>
      <w:suppressAutoHyphens w:val="true"/>
    </w:pPr>
    <w:rPr>
      <w:rFonts w:ascii="Arial" w:cs="Tahoma" w:eastAsia="Arial" w:hAnsi="Arial"/>
      <w:b w:val="false"/>
      <w:i w:val="false"/>
      <w:color w:val="00000A"/>
      <w:sz w:val="20"/>
      <w:szCs w:val="24"/>
      <w:u w:val="none"/>
      <w:lang w:bidi="hi-IN" w:eastAsia="zh-CN" w:val="ru-RU"/>
    </w:rPr>
  </w:style>
  <w:style w:styleId="style34" w:type="paragraph">
    <w:name w:val="  ConsPlusCell"/>
    <w:next w:val="style34"/>
    <w:pPr>
      <w:widowControl/>
      <w:suppressAutoHyphens w:val="true"/>
    </w:pPr>
    <w:rPr>
      <w:rFonts w:ascii="Arial" w:cs="Tahoma" w:eastAsia="Arial" w:hAnsi="Arial"/>
      <w:b w:val="false"/>
      <w:i w:val="false"/>
      <w:color w:val="00000A"/>
      <w:sz w:val="20"/>
      <w:szCs w:val="24"/>
      <w:u w:val="none"/>
      <w:lang w:bidi="hi-IN" w:eastAsia="zh-CN" w:val="ru-RU"/>
    </w:rPr>
  </w:style>
  <w:style w:styleId="style35" w:type="paragraph">
    <w:name w:val="  ConsPlusNonformat"/>
    <w:next w:val="style35"/>
    <w:pPr>
      <w:widowControl/>
      <w:suppressAutoHyphens w:val="true"/>
    </w:pPr>
    <w:rPr>
      <w:rFonts w:ascii="Courier New" w:cs="Tahoma" w:eastAsia="Arial" w:hAnsi="Courier New"/>
      <w:b w:val="false"/>
      <w:i w:val="false"/>
      <w:color w:val="00000A"/>
      <w:sz w:val="20"/>
      <w:szCs w:val="24"/>
      <w:u w:val="none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2013-05-13T10:21:04.00Z</dcterms:created>
  <dc:creator>ConsultantPlus</dc:creator>
  <cp:lastModifiedBy>User </cp:lastModifiedBy>
  <cp:lastPrinted>2013-07-08T10:12:29.00Z</cp:lastPrinted>
  <dcterms:modified xsi:type="dcterms:W3CDTF">2013-05-24T11:05:29.00Z</dcterms:modified>
  <cp:revision>2</cp:revision>
  <dc:title>Постановление Правительства РК от 08.04.2013 N 105"О внесении изменений в постановление Правительства Республики Коми от 28 марта 2011 г. N 87 "О программе "Модернизация здравоохранения Республики Коми на 2011 - 2012 годы"(вместе с "Перечнем оборудования, планируемого к приобретению в рамках программы "Модернизация здравоохранения Республики Коми на 2011 - 2013 годы")</dc:title>
</cp:coreProperties>
</file>