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870" w:left="0" w:right="0"/>
        <w:jc w:val="both"/>
      </w:pPr>
      <w:r>
        <w:rPr>
          <w:sz w:val="28"/>
          <w:szCs w:val="28"/>
          <w:lang w:val="kpv-RU"/>
        </w:rPr>
        <w:t>Вячеслав Гайзер: “Коми Республикаса Веськӧдлан котыр кутас веськӧдны бизнессӧ сы вылӧ, медым гырысь промышленнӧй объектъясӧ кыскыны меставывса кадръясӧс”</w:t>
      </w:r>
    </w:p>
    <w:p>
      <w:pPr>
        <w:pStyle w:val="style0"/>
        <w:spacing w:line="360" w:lineRule="auto"/>
        <w:ind w:firstLine="870" w:left="0" w:right="0"/>
        <w:jc w:val="both"/>
      </w:pPr>
      <w:r>
        <w:rPr>
          <w:sz w:val="28"/>
          <w:szCs w:val="28"/>
          <w:lang w:val="kpv-RU"/>
        </w:rPr>
        <w:t>Коми Республикаса Юралысь Вячеслав Гайзер тшӧктіс аслас вежысьяс Владимир Тукмаковлы да Александр Буровлы вынсьӧдны артмӧдчӧмъясӧн дінмуса медыджыд компанияяскӧд выль нога йитӧдъяссӧ. Тайӧ сетас позянлун дасьтыны да могмӧдны уджӧн торъя производствоясын да балаяс збыльмӧдӧмын выль специалистъясӧс, медводз республикаса олысьяс лыдысь.</w:t>
      </w:r>
    </w:p>
    <w:p>
      <w:pPr>
        <w:pStyle w:val="style0"/>
        <w:spacing w:line="360" w:lineRule="auto"/>
        <w:ind w:firstLine="870" w:left="0" w:right="0"/>
        <w:jc w:val="both"/>
      </w:pPr>
      <w:r>
        <w:rPr>
          <w:sz w:val="28"/>
          <w:szCs w:val="28"/>
          <w:lang w:val="kpv-RU"/>
        </w:rPr>
        <w:t>“</w:t>
      </w:r>
      <w:r>
        <w:rPr>
          <w:sz w:val="28"/>
          <w:szCs w:val="28"/>
          <w:lang w:val="kpv-RU"/>
        </w:rPr>
        <w:t xml:space="preserve">Талун </w:t>
      </w:r>
      <w:bookmarkStart w:id="0" w:name="__DdeLink__1_687486027"/>
      <w:r>
        <w:rPr>
          <w:sz w:val="28"/>
          <w:szCs w:val="28"/>
          <w:lang w:val="kpv-RU"/>
        </w:rPr>
        <w:t>Коми Республикаса Веськӧдлан котыр да компанияяс костын</w:t>
      </w:r>
      <w:bookmarkEnd w:id="0"/>
      <w:r>
        <w:rPr>
          <w:sz w:val="28"/>
          <w:szCs w:val="28"/>
          <w:lang w:val="kpv-RU"/>
        </w:rPr>
        <w:t xml:space="preserve"> ӧткымын артмӧдчӧмын эм “выль уджалан местаяс лӧсьӧдӧм” пункт. Миянлы колӧ стӧчмӧдны тайӧ туйвизьын уджаланногсӧ. Быд компаниялӧн эм дыр кад кежлӧ лӧсьӧдӧм сӧвмӧдан планъяс, на дорӧ колӧ йитны меставывса кадръяс дасьтан да накӧд уджалан планъяс. Миянлы колӧ туйдӧдны уджӧн могмӧдысьясӧс сы вылӧ, медым найӧ сетісны йӧзлы удж да дасьтісны уджалысьясӧс, рабочӧй уджсикасъяссянь веськӧдлысьясӧдз, места вылын – Коми Республикаын. Миян боксянь Коми Республикаса экономика сӧвмӧдан министерстволы уджӧн могмӧдан службакӧд, вузъяскӧд да Россияса наукаяс академиялӧн Коми наука шӧринкӧд ӧтвылысь колӧ кыдзи позьӧ ӧдйӧджык сетны удж ресурсъяслӧн состояние да найӧс уджӧдӧм йылысь колана юӧръяс. Бокысь воӧм йӧзӧс думышттӧг удж вылӧ босьтӧм пыдди, и таӧн дзуглун да мукӧд мытшӧд артмӧдӧм пыдди, миянлы колӧ быд ног кыскыны прӧст уджалан местаясӧ миян олысьясӧс”, - юӧртіс Коми Республикаса Юралысь Вячеслав Гайзер.</w:t>
      </w:r>
    </w:p>
    <w:p>
      <w:pPr>
        <w:pStyle w:val="style0"/>
        <w:spacing w:line="360" w:lineRule="auto"/>
        <w:ind w:firstLine="870" w:left="0" w:right="0"/>
        <w:jc w:val="both"/>
      </w:pPr>
      <w:r>
        <w:rPr/>
      </w:r>
    </w:p>
    <w:p>
      <w:pPr>
        <w:pStyle w:val="style0"/>
        <w:spacing w:line="360" w:lineRule="auto"/>
        <w:ind w:firstLine="870" w:left="0" w:right="0"/>
        <w:jc w:val="both"/>
      </w:pPr>
      <w:r>
        <w:rPr>
          <w:sz w:val="28"/>
          <w:szCs w:val="28"/>
          <w:lang w:val="kpv-RU"/>
        </w:rPr>
        <w:t xml:space="preserve">***Ӧнія кадӧ Коми Республикаса Веськӧдлан котыр да торъя компанияяс костын кырымалӧма уджын ёртасьӧм йылысь 20 гӧгӧр артмӧдчӧм, татшӧмъяскӧд кыдзи “Лукойл”, “Газпром”, “Роснефть”, “Северсталь-ресурс”, “Новолипецкӧй металлургическӧй комбинат”, “Енисей”, “Монди СЛПК”. </w:t>
      </w:r>
    </w:p>
    <w:p>
      <w:pPr>
        <w:pStyle w:val="style0"/>
        <w:spacing w:line="360" w:lineRule="auto"/>
        <w:ind w:firstLine="870" w:left="0" w:right="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variable"/>
  </w:font>
  <w:font w:name="Arial">
    <w:charset w:val="80"/>
    <w:family w:val="swiss"/>
    <w:pitch w:val="variable"/>
  </w:font>
  <w:font w:name="Arial">
    <w:charset w:val="80"/>
    <w:family w:val="roman"/>
    <w:pitch w:val="variable"/>
  </w:font>
  <w:font w:name="Courier New">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Lohit Devanagari" w:eastAsia="Bitstream Vera Sans" w:hAnsi="Times New Roman"/>
      <w:color w:val="00000A"/>
      <w:sz w:val="24"/>
      <w:szCs w:val="24"/>
      <w:lang w:bidi="hi-IN" w:eastAsia="zh-CN" w:val="ru-RU"/>
    </w:rPr>
  </w:style>
  <w:style w:styleId="style1" w:type="paragraph">
    <w:name w:val="Заголовок 1"/>
    <w:basedOn w:val="style23"/>
    <w:next w:val="style1"/>
    <w:pPr/>
    <w:rPr>
      <w:b/>
      <w:bCs/>
      <w:sz w:val="32"/>
      <w:szCs w:val="32"/>
    </w:rPr>
  </w:style>
  <w:style w:styleId="style2" w:type="paragraph">
    <w:name w:val="Заголовок 2"/>
    <w:basedOn w:val="style23"/>
    <w:next w:val="style2"/>
    <w:pPr/>
    <w:rPr>
      <w:b/>
      <w:bCs/>
      <w:i/>
      <w:iCs/>
      <w:sz w:val="28"/>
      <w:szCs w:val="28"/>
    </w:rPr>
  </w:style>
  <w:style w:styleId="style3" w:type="paragraph">
    <w:name w:val="Заголовок 3"/>
    <w:basedOn w:val="style23"/>
    <w:next w:val="style3"/>
    <w:pPr/>
    <w:rPr>
      <w:rFonts w:ascii="Times New Roman" w:cs="Lohit Devanagari" w:eastAsia="Bitstream Vera Sans" w:hAnsi="Times New Roman"/>
      <w:b/>
      <w:bCs/>
      <w:sz w:val="28"/>
      <w:szCs w:val="28"/>
    </w:rPr>
  </w:style>
  <w:style w:styleId="style4" w:type="paragraph">
    <w:name w:val="Заголовок 4"/>
    <w:basedOn w:val="style23"/>
    <w:next w:val="style4"/>
    <w:pPr/>
    <w:rPr/>
  </w:style>
  <w:style w:styleId="style15" w:type="character">
    <w:name w:val="Интернет-ссылка"/>
    <w:next w:val="style15"/>
    <w:rPr>
      <w:color w:val="000080"/>
      <w:u w:val="single"/>
      <w:lang w:bidi="zxx-" w:eastAsia="zxx-" w:val="zxx-"/>
    </w:rPr>
  </w:style>
  <w:style w:styleId="style16" w:type="character">
    <w:name w:val="Выделение"/>
    <w:next w:val="style16"/>
    <w:rPr>
      <w:i/>
      <w:iCs/>
    </w:rPr>
  </w:style>
  <w:style w:styleId="style17" w:type="character">
    <w:name w:val="WW8Num2z0"/>
    <w:next w:val="style17"/>
    <w:rPr>
      <w:rFonts w:ascii="Times New Roman" w:cs="Times New Roman" w:hAnsi="Times New Roman"/>
      <w:sz w:val="10"/>
      <w:szCs w:val="10"/>
    </w:rPr>
  </w:style>
  <w:style w:styleId="style18" w:type="character">
    <w:name w:val="WW8Num2z1"/>
    <w:next w:val="style18"/>
    <w:rPr>
      <w:sz w:val="10"/>
      <w:szCs w:val="10"/>
    </w:rPr>
  </w:style>
  <w:style w:styleId="style19" w:type="character">
    <w:name w:val="WW8Num2ztrue"/>
    <w:next w:val="style19"/>
    <w:rPr/>
  </w:style>
  <w:style w:styleId="style20" w:type="character">
    <w:name w:val="ListLabel 1"/>
    <w:next w:val="style20"/>
    <w:rPr>
      <w:sz w:val="10"/>
      <w:szCs w:val="10"/>
    </w:rPr>
  </w:style>
  <w:style w:styleId="style21" w:type="character">
    <w:name w:val="INS"/>
    <w:next w:val="style21"/>
    <w:rPr/>
  </w:style>
  <w:style w:styleId="style22" w:type="character">
    <w:name w:val="Выделение жирным"/>
    <w:next w:val="style22"/>
    <w:rPr>
      <w:b/>
      <w:bCs/>
    </w:rPr>
  </w:style>
  <w:style w:styleId="style23" w:type="paragraph">
    <w:name w:val="Заголовок"/>
    <w:basedOn w:val="style0"/>
    <w:next w:val="style24"/>
    <w:pPr>
      <w:keepNext/>
      <w:spacing w:after="120" w:before="240"/>
      <w:contextualSpacing w:val="false"/>
    </w:pPr>
    <w:rPr>
      <w:rFonts w:ascii="Arial" w:cs="Lohit Devanagari" w:eastAsia="Bitstream Vera Sans" w:hAnsi="Arial"/>
      <w:sz w:val="28"/>
      <w:szCs w:val="28"/>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Lohit Devanagari"/>
    </w:rPr>
  </w:style>
  <w:style w:styleId="style26" w:type="paragraph">
    <w:name w:val="Название"/>
    <w:basedOn w:val="style0"/>
    <w:next w:val="style26"/>
    <w:pPr>
      <w:suppressLineNumbers/>
      <w:spacing w:after="120" w:before="120"/>
      <w:contextualSpacing w:val="false"/>
    </w:pPr>
    <w:rPr>
      <w:rFonts w:cs="Lohit Devanagari"/>
      <w:i/>
      <w:iCs/>
      <w:sz w:val="24"/>
      <w:szCs w:val="24"/>
    </w:rPr>
  </w:style>
  <w:style w:styleId="style27" w:type="paragraph">
    <w:name w:val="Указатель"/>
    <w:basedOn w:val="style0"/>
    <w:next w:val="style27"/>
    <w:pPr>
      <w:suppressLineNumbers/>
    </w:pPr>
    <w:rPr>
      <w:rFonts w:cs="Lohit Devanagari"/>
    </w:rPr>
  </w:style>
  <w:style w:styleId="style28" w:type="paragraph">
    <w:name w:val="ConsPlusNormal"/>
    <w:next w:val="style28"/>
    <w:pPr>
      <w:widowControl w:val="false"/>
      <w:suppressAutoHyphens w:val="true"/>
      <w:ind w:firstLine="720" w:left="0" w:right="0"/>
    </w:pPr>
    <w:rPr>
      <w:rFonts w:ascii="Arial" w:cs="Arial" w:eastAsia="Times New Roman" w:hAnsi="Arial"/>
      <w:color w:val="00000A"/>
      <w:sz w:val="20"/>
      <w:szCs w:val="20"/>
      <w:lang w:bidi="ar-SA" w:eastAsia="zh-CN" w:val="ru-RU"/>
    </w:rPr>
  </w:style>
  <w:style w:styleId="style29" w:type="paragraph">
    <w:name w:val="ConsPlusCell"/>
    <w:next w:val="style29"/>
    <w:pPr>
      <w:widowControl w:val="false"/>
      <w:suppressAutoHyphens w:val="true"/>
    </w:pPr>
    <w:rPr>
      <w:rFonts w:ascii="Arial" w:cs="Arial" w:eastAsia="Times New Roman" w:hAnsi="Arial"/>
      <w:color w:val="00000A"/>
      <w:sz w:val="20"/>
      <w:szCs w:val="20"/>
      <w:lang w:bidi="ar-SA" w:eastAsia="zh-CN" w:val="ru-RU"/>
    </w:rPr>
  </w:style>
  <w:style w:styleId="style30" w:type="paragraph">
    <w:name w:val="Содержимое таблицы"/>
    <w:basedOn w:val="style0"/>
    <w:next w:val="style30"/>
    <w:pPr>
      <w:suppressLineNumbers/>
    </w:pPr>
    <w:rPr/>
  </w:style>
  <w:style w:styleId="style31" w:type="paragraph">
    <w:name w:val="Заголовок таблицы"/>
    <w:basedOn w:val="style30"/>
    <w:next w:val="style31"/>
    <w:pPr/>
    <w:rPr/>
  </w:style>
  <w:style w:styleId="style32" w:type="paragraph">
    <w:name w:val="Заголовок списка"/>
    <w:basedOn w:val="style0"/>
    <w:next w:val="style32"/>
    <w:pPr/>
    <w:rPr/>
  </w:style>
  <w:style w:styleId="style33" w:type="paragraph">
    <w:name w:val="  ConsPlusNormal"/>
    <w:next w:val="style33"/>
    <w:pPr>
      <w:widowControl/>
      <w:suppressAutoHyphens w:val="true"/>
    </w:pPr>
    <w:rPr>
      <w:rFonts w:ascii="Arial" w:cs="Tahoma" w:eastAsia="Arial" w:hAnsi="Arial"/>
      <w:b w:val="false"/>
      <w:i w:val="false"/>
      <w:color w:val="00000A"/>
      <w:sz w:val="20"/>
      <w:szCs w:val="24"/>
      <w:u w:val="none"/>
      <w:lang w:bidi="hi-IN" w:eastAsia="zh-CN" w:val="ru-RU"/>
    </w:rPr>
  </w:style>
  <w:style w:styleId="style34" w:type="paragraph">
    <w:name w:val="  ConsPlusCell"/>
    <w:next w:val="style34"/>
    <w:pPr>
      <w:widowControl/>
      <w:suppressAutoHyphens w:val="true"/>
    </w:pPr>
    <w:rPr>
      <w:rFonts w:ascii="Arial" w:cs="Tahoma" w:eastAsia="Arial" w:hAnsi="Arial"/>
      <w:b w:val="false"/>
      <w:i w:val="false"/>
      <w:color w:val="00000A"/>
      <w:sz w:val="20"/>
      <w:szCs w:val="24"/>
      <w:u w:val="none"/>
      <w:lang w:bidi="hi-IN" w:eastAsia="zh-CN" w:val="ru-RU"/>
    </w:rPr>
  </w:style>
  <w:style w:styleId="style35" w:type="paragraph">
    <w:name w:val="  ConsPlusNonformat"/>
    <w:next w:val="style35"/>
    <w:pPr>
      <w:widowControl/>
      <w:suppressAutoHyphens w:val="true"/>
    </w:pPr>
    <w:rPr>
      <w:rFonts w:ascii="Courier New" w:cs="Tahoma" w:eastAsia="Arial" w:hAnsi="Courier New"/>
      <w:b w:val="false"/>
      <w:i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2013-05-13T10:21:04.00Z</dcterms:created>
  <dc:creator>ConsultantPlus</dc:creator>
  <cp:lastModifiedBy>User </cp:lastModifiedBy>
  <cp:lastPrinted>2013-06-13T15:49:58.00Z</cp:lastPrinted>
  <dcterms:modified xsi:type="dcterms:W3CDTF">2013-05-24T11:05:29.00Z</dcterms:modified>
  <cp:revision>2</cp:revision>
  <dc:title>Постановление Правительства РК от 08.04.2013 N 105"О внесении изменений в постановление Правительства Республики Коми от 28 марта 2011 г. N 87 "О программе "Модернизация здравоохранения Республики Коми на 2011 - 2012 годы"(вместе с "Перечнем оборудования, планируемого к приобретению в рамках программы "Модернизация здравоохранения Республики Коми на 2011 - 2013 годы")</dc:title>
</cp:coreProperties>
</file>