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885" w:left="0" w:right="0"/>
        <w:jc w:val="both"/>
      </w:pPr>
      <w:r>
        <w:rPr>
          <w:sz w:val="28"/>
          <w:szCs w:val="28"/>
          <w:lang w:bidi="hi-IN" w:eastAsia="zh-CN" w:val="kpv-RU"/>
        </w:rPr>
        <w:t>Коми Республикаса Юралысьлӧн тшӧктӧм серти Вуктылса ювыв вуджанін</w:t>
      </w:r>
      <w:r>
        <w:rPr>
          <w:sz w:val="28"/>
          <w:szCs w:val="28"/>
          <w:lang w:bidi="hi-IN" w:eastAsia="zh-CN" w:val="kpv-RU"/>
        </w:rPr>
        <w:t>ын</w:t>
      </w:r>
      <w:r>
        <w:rPr>
          <w:sz w:val="28"/>
          <w:szCs w:val="28"/>
          <w:lang w:bidi="hi-IN" w:eastAsia="zh-CN" w:val="kpv-RU"/>
        </w:rPr>
        <w:t xml:space="preserve"> заводитіс уджавны ыстӧм содтӧд пассажирскӧй катер </w:t>
      </w:r>
    </w:p>
    <w:p>
      <w:pPr>
        <w:pStyle w:val="style0"/>
        <w:spacing w:line="360" w:lineRule="auto"/>
        <w:ind w:firstLine="885" w:left="0" w:right="0"/>
        <w:jc w:val="both"/>
      </w:pPr>
      <w:r>
        <w:rPr>
          <w:sz w:val="28"/>
          <w:szCs w:val="28"/>
          <w:lang w:bidi="hi-IN" w:eastAsia="zh-CN" w:val="kpv-RU"/>
        </w:rPr>
        <w:t>Медым бурмӧдны Печора ю вомӧн йӧзӧс вуджӧдӧмсӧ, Коми Республикаса Веськӧдлан котыр да “Дінмуса транспорт компания” костын сёрнитчӧм серти паромӧн вуджанінӧ вайӧдӧма Усинск районысь выль КС катер. Сора тӧлысь 15 лунсянь катер заводитіс вуджӧдны йӧзӧс.</w:t>
      </w:r>
    </w:p>
    <w:p>
      <w:pPr>
        <w:pStyle w:val="style0"/>
        <w:spacing w:line="360" w:lineRule="auto"/>
        <w:ind w:firstLine="885" w:left="0" w:right="0"/>
        <w:jc w:val="both"/>
      </w:pPr>
      <w:r>
        <w:rPr>
          <w:sz w:val="28"/>
          <w:szCs w:val="28"/>
          <w:lang w:bidi="hi-IN" w:eastAsia="zh-CN" w:val="kpv-RU"/>
        </w:rPr>
        <w:t>“</w:t>
      </w:r>
      <w:r>
        <w:rPr>
          <w:sz w:val="28"/>
          <w:szCs w:val="28"/>
          <w:lang w:bidi="hi-IN" w:eastAsia="zh-CN" w:val="kpv-RU"/>
        </w:rPr>
        <w:t xml:space="preserve">Республика мыйкӧ дыра кежлӧ босьтӧ ас вылӧ муниципальнӧй тырмытӧмтор бырӧдӧмсӧ. Оланпас серти олысьясӧс транспортӧн могмӧдӧмысь тырвыйӧ кывкутӧ меставывса власьт. Но юалӧмсӧ решитӧм пыдди Вуктылса администрациясянь олысьяс кылісны сӧмын кӧсйысьӧмъяс. Такӧд йитчӧма и асланыс катерлӧн уджалӧм, мый дзоньталӧм бӧрын сідзи и сулалӧ домалӧмӧн, и районын олысьясӧс пыдди пуктӧм, кодъяс оз вермыны бура вуджны мӧдлапӧлӧ. Коми Республикаса Веськӧдлан котыр отсаліс тайӧ сьӧкыдторйын, но век жӧ окота тӧдны, дыр-ӧ на кутас весь овны меставывса власьтыс”, - висьталіс Коми </w:t>
      </w:r>
      <w:bookmarkStart w:id="0" w:name="__DdeLink__0_1034473567"/>
      <w:r>
        <w:rPr>
          <w:sz w:val="28"/>
          <w:szCs w:val="28"/>
          <w:lang w:bidi="hi-IN" w:eastAsia="zh-CN" w:val="kpv-RU"/>
        </w:rPr>
        <w:t xml:space="preserve">Республикаса Юралысь </w:t>
      </w:r>
      <w:bookmarkEnd w:id="0"/>
      <w:r>
        <w:rPr>
          <w:sz w:val="28"/>
          <w:szCs w:val="28"/>
          <w:lang w:bidi="hi-IN" w:eastAsia="zh-CN" w:val="kpv-RU"/>
        </w:rPr>
        <w:t>Вячеслав Гайзер.</w:t>
      </w:r>
    </w:p>
    <w:p>
      <w:pPr>
        <w:pStyle w:val="style0"/>
        <w:spacing w:line="360" w:lineRule="auto"/>
        <w:ind w:firstLine="885" w:left="0" w:right="0"/>
        <w:jc w:val="both"/>
      </w:pPr>
      <w:r>
        <w:rPr>
          <w:sz w:val="28"/>
          <w:szCs w:val="28"/>
          <w:lang w:bidi="hi-IN" w:eastAsia="zh-CN" w:val="kpv-RU"/>
        </w:rPr>
        <w:t xml:space="preserve">Республикаса Юралысь тшӧктіс аслас вежысь Александр Буровлы Промышленносьт да связь министерствокӧд ӧтвылысь вӧзйыны петан туйяс Вуктыл, Печора, Изьва да Чилимдін районъясын ювыв йитӧдъяс котыртӧмын. </w:t>
      </w:r>
    </w:p>
    <w:p>
      <w:pPr>
        <w:pStyle w:val="style0"/>
        <w:spacing w:line="360" w:lineRule="auto"/>
        <w:ind w:firstLine="885" w:left="0" w:right="0"/>
        <w:jc w:val="both"/>
      </w:pPr>
      <w:r>
        <w:rPr>
          <w:sz w:val="28"/>
          <w:szCs w:val="28"/>
          <w:lang w:bidi="hi-IN" w:eastAsia="zh-CN" w:val="kpv-RU"/>
        </w:rPr>
        <w:t>“</w:t>
      </w:r>
      <w:r>
        <w:rPr>
          <w:sz w:val="28"/>
          <w:szCs w:val="28"/>
          <w:lang w:bidi="hi-IN" w:eastAsia="zh-CN" w:val="kpv-RU"/>
        </w:rPr>
        <w:t>Локтан навигация кежлӧ став тайӧ юалӧмсӧ колӧ бырӧдны. Тайӧ мытшӧдыс кӧ, мыйкӧд Вуктыл районса олысьяс паныдасисны меставывса власьтъяслӧн ньӧжмыдлун понда, а веськыда кӧ шуны, весь олӧм понда, артмас выльысь, то сӧветса депутатъяслы ковмас думыштны, вермӧ-ӧ наӧн бӧрйӧм сити-менеджерыс решайтны мутасын артмӧм мытшӧдъяссӧ. Тайӧ инмӧ быд районлы, кӧні эм паромӧн вуджанін. Колӧ шуны, мый тайӧ туйясын ветлысь муниципальнӧй катеръясӧс лицензируйтӧмсӧ колӧ тшӧтш жӧ пыртны меставывса власьт компетенцияӧ. Ӧні налӧн эм на кадыс, медым бырӧдны ассьыныс тырмытӧмторъяссӧ. Но нӧшта ӧтчыдысь пасъя, мый муниципалитетъяслӧн эм и торъя уджмогъяс, и позянлунъяс, медым решайтны мытшӧдъяссӧ, а не дзебсьыны наысь”, - тӧдчӧдіс Вячеслав Гайзер.</w:t>
      </w:r>
    </w:p>
    <w:p>
      <w:pPr>
        <w:pStyle w:val="style0"/>
        <w:spacing w:line="360" w:lineRule="auto"/>
        <w:ind w:firstLine="885" w:left="0" w:right="0"/>
        <w:jc w:val="both"/>
      </w:pPr>
      <w:r>
        <w:rPr/>
      </w:r>
    </w:p>
    <w:p>
      <w:pPr>
        <w:pStyle w:val="style0"/>
        <w:spacing w:line="360" w:lineRule="auto"/>
        <w:ind w:firstLine="885" w:left="0" w:right="0"/>
        <w:jc w:val="both"/>
      </w:pPr>
      <w:r>
        <w:rPr>
          <w:sz w:val="28"/>
          <w:szCs w:val="28"/>
          <w:lang w:bidi="hi-IN" w:eastAsia="zh-CN" w:val="kpv-RU"/>
        </w:rPr>
        <w:t xml:space="preserve">*** “Саридзвыв да ювыв ва транспорт вылын торъя удж сикасъяс лицензируйтӧм йылысь” РФ Веськӧдлан котырлӧн 2012 во рака тӧлысь 6 лунся 193 №-а шуӧм чорзьӧдіс паромъясӧн йӧзӧс новлӧдлӧм вылӧ лицензия босьтӧм серти корӧмъяссӧ. Коми Республикаын талун уджалӧ 14 паромӧн вуджанін, на пиысь сӧмын куимлы позьӧ Россияса Ювыв Регистр серти уджавны – Сыктывкар бердса Алёшин местаын да Печора кар да Озёрнӧй посёлок костын. </w:t>
      </w:r>
    </w:p>
    <w:p>
      <w:pPr>
        <w:pStyle w:val="style0"/>
        <w:spacing w:line="360" w:lineRule="auto"/>
        <w:ind w:firstLine="885" w:left="0" w:right="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swiss"/>
    <w:pitch w:val="variable"/>
  </w:font>
  <w:font w:name="Arial">
    <w:charset w:val="80"/>
    <w:family w:val="swiss"/>
    <w:pitch w:val="variable"/>
  </w:font>
  <w:font w:name="Arial">
    <w:charset w:val="80"/>
    <w:family w:val="roman"/>
    <w:pitch w:val="variable"/>
  </w:font>
  <w:font w:name="Courier New">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true"/>
    </w:pPr>
    <w:rPr>
      <w:rFonts w:ascii="Times New Roman" w:cs="Lohit Devanagari" w:eastAsia="Bitstream Vera Sans" w:hAnsi="Times New Roman"/>
      <w:color w:val="00000A"/>
      <w:sz w:val="24"/>
      <w:szCs w:val="24"/>
      <w:lang w:bidi="hi-IN" w:eastAsia="zh-CN" w:val="ru-RU"/>
    </w:rPr>
  </w:style>
  <w:style w:styleId="style1" w:type="paragraph">
    <w:name w:val="Заголовок 1"/>
    <w:basedOn w:val="style23"/>
    <w:next w:val="style1"/>
    <w:pPr/>
    <w:rPr>
      <w:b/>
      <w:bCs/>
      <w:sz w:val="32"/>
      <w:szCs w:val="32"/>
    </w:rPr>
  </w:style>
  <w:style w:styleId="style2" w:type="paragraph">
    <w:name w:val="Заголовок 2"/>
    <w:basedOn w:val="style23"/>
    <w:next w:val="style2"/>
    <w:pPr/>
    <w:rPr>
      <w:b/>
      <w:bCs/>
      <w:i/>
      <w:iCs/>
      <w:sz w:val="28"/>
      <w:szCs w:val="28"/>
    </w:rPr>
  </w:style>
  <w:style w:styleId="style3" w:type="paragraph">
    <w:name w:val="Заголовок 3"/>
    <w:basedOn w:val="style23"/>
    <w:next w:val="style3"/>
    <w:pPr/>
    <w:rPr>
      <w:rFonts w:ascii="Times New Roman" w:cs="Lohit Devanagari" w:eastAsia="Bitstream Vera Sans" w:hAnsi="Times New Roman"/>
      <w:b/>
      <w:bCs/>
      <w:sz w:val="28"/>
      <w:szCs w:val="28"/>
    </w:rPr>
  </w:style>
  <w:style w:styleId="style4" w:type="paragraph">
    <w:name w:val="Заголовок 4"/>
    <w:basedOn w:val="style23"/>
    <w:next w:val="style4"/>
    <w:pPr/>
    <w:rPr/>
  </w:style>
  <w:style w:styleId="style15" w:type="character">
    <w:name w:val="Интернет-ссылка"/>
    <w:next w:val="style15"/>
    <w:rPr>
      <w:color w:val="000080"/>
      <w:u w:val="single"/>
      <w:lang w:bidi="zxx-" w:eastAsia="zxx-" w:val="zxx-"/>
    </w:rPr>
  </w:style>
  <w:style w:styleId="style16" w:type="character">
    <w:name w:val="Выделение"/>
    <w:next w:val="style16"/>
    <w:rPr>
      <w:i/>
      <w:iCs/>
    </w:rPr>
  </w:style>
  <w:style w:styleId="style17" w:type="character">
    <w:name w:val="WW8Num2z0"/>
    <w:next w:val="style17"/>
    <w:rPr>
      <w:rFonts w:ascii="Times New Roman" w:cs="Times New Roman" w:hAnsi="Times New Roman"/>
      <w:sz w:val="10"/>
      <w:szCs w:val="10"/>
    </w:rPr>
  </w:style>
  <w:style w:styleId="style18" w:type="character">
    <w:name w:val="WW8Num2z1"/>
    <w:next w:val="style18"/>
    <w:rPr>
      <w:sz w:val="10"/>
      <w:szCs w:val="10"/>
    </w:rPr>
  </w:style>
  <w:style w:styleId="style19" w:type="character">
    <w:name w:val="WW8Num2ztrue"/>
    <w:next w:val="style19"/>
    <w:rPr/>
  </w:style>
  <w:style w:styleId="style20" w:type="character">
    <w:name w:val="ListLabel 1"/>
    <w:next w:val="style20"/>
    <w:rPr>
      <w:sz w:val="10"/>
      <w:szCs w:val="10"/>
    </w:rPr>
  </w:style>
  <w:style w:styleId="style21" w:type="character">
    <w:name w:val="INS"/>
    <w:next w:val="style21"/>
    <w:rPr/>
  </w:style>
  <w:style w:styleId="style22" w:type="character">
    <w:name w:val="Выделение жирным"/>
    <w:next w:val="style22"/>
    <w:rPr>
      <w:b/>
      <w:bCs/>
    </w:rPr>
  </w:style>
  <w:style w:styleId="style23" w:type="paragraph">
    <w:name w:val="Заголовок"/>
    <w:basedOn w:val="style0"/>
    <w:next w:val="style24"/>
    <w:pPr>
      <w:keepNext/>
      <w:spacing w:after="120" w:before="240"/>
      <w:contextualSpacing w:val="false"/>
    </w:pPr>
    <w:rPr>
      <w:rFonts w:ascii="Arial" w:cs="Lohit Devanagari" w:eastAsia="Bitstream Vera Sans" w:hAnsi="Arial"/>
      <w:sz w:val="28"/>
      <w:szCs w:val="28"/>
    </w:rPr>
  </w:style>
  <w:style w:styleId="style24" w:type="paragraph">
    <w:name w:val="Основной текст"/>
    <w:basedOn w:val="style0"/>
    <w:next w:val="style24"/>
    <w:pPr>
      <w:spacing w:after="120" w:before="0"/>
      <w:contextualSpacing w:val="false"/>
    </w:pPr>
    <w:rPr/>
  </w:style>
  <w:style w:styleId="style25" w:type="paragraph">
    <w:name w:val="Список"/>
    <w:basedOn w:val="style24"/>
    <w:next w:val="style25"/>
    <w:pPr/>
    <w:rPr>
      <w:rFonts w:cs="Lohit Devanagari"/>
    </w:rPr>
  </w:style>
  <w:style w:styleId="style26" w:type="paragraph">
    <w:name w:val="Название"/>
    <w:basedOn w:val="style0"/>
    <w:next w:val="style26"/>
    <w:pPr>
      <w:suppressLineNumbers/>
      <w:spacing w:after="120" w:before="120"/>
      <w:contextualSpacing w:val="false"/>
    </w:pPr>
    <w:rPr>
      <w:rFonts w:cs="Lohit Devanagari"/>
      <w:i/>
      <w:iCs/>
      <w:sz w:val="24"/>
      <w:szCs w:val="24"/>
    </w:rPr>
  </w:style>
  <w:style w:styleId="style27" w:type="paragraph">
    <w:name w:val="Указатель"/>
    <w:basedOn w:val="style0"/>
    <w:next w:val="style27"/>
    <w:pPr>
      <w:suppressLineNumbers/>
    </w:pPr>
    <w:rPr>
      <w:rFonts w:cs="Lohit Devanagari"/>
    </w:rPr>
  </w:style>
  <w:style w:styleId="style28" w:type="paragraph">
    <w:name w:val="ConsPlusNormal"/>
    <w:next w:val="style28"/>
    <w:pPr>
      <w:widowControl w:val="false"/>
      <w:suppressAutoHyphens w:val="true"/>
      <w:ind w:firstLine="720" w:left="0" w:right="0"/>
    </w:pPr>
    <w:rPr>
      <w:rFonts w:ascii="Arial" w:cs="Arial" w:eastAsia="Times New Roman" w:hAnsi="Arial"/>
      <w:color w:val="00000A"/>
      <w:sz w:val="20"/>
      <w:szCs w:val="20"/>
      <w:lang w:bidi="ar-SA" w:eastAsia="zh-CN" w:val="ru-RU"/>
    </w:rPr>
  </w:style>
  <w:style w:styleId="style29" w:type="paragraph">
    <w:name w:val="ConsPlusCell"/>
    <w:next w:val="style29"/>
    <w:pPr>
      <w:widowControl w:val="false"/>
      <w:suppressAutoHyphens w:val="true"/>
    </w:pPr>
    <w:rPr>
      <w:rFonts w:ascii="Arial" w:cs="Arial" w:eastAsia="Times New Roman" w:hAnsi="Arial"/>
      <w:color w:val="00000A"/>
      <w:sz w:val="20"/>
      <w:szCs w:val="20"/>
      <w:lang w:bidi="ar-SA" w:eastAsia="zh-CN" w:val="ru-RU"/>
    </w:rPr>
  </w:style>
  <w:style w:styleId="style30" w:type="paragraph">
    <w:name w:val="Содержимое таблицы"/>
    <w:basedOn w:val="style0"/>
    <w:next w:val="style30"/>
    <w:pPr>
      <w:suppressLineNumbers/>
    </w:pPr>
    <w:rPr/>
  </w:style>
  <w:style w:styleId="style31" w:type="paragraph">
    <w:name w:val="Заголовок таблицы"/>
    <w:basedOn w:val="style30"/>
    <w:next w:val="style31"/>
    <w:pPr/>
    <w:rPr/>
  </w:style>
  <w:style w:styleId="style32" w:type="paragraph">
    <w:name w:val="Заголовок списка"/>
    <w:basedOn w:val="style0"/>
    <w:next w:val="style32"/>
    <w:pPr/>
    <w:rPr/>
  </w:style>
  <w:style w:styleId="style33" w:type="paragraph">
    <w:name w:val="  ConsPlusNormal"/>
    <w:next w:val="style33"/>
    <w:pPr>
      <w:widowControl/>
      <w:suppressAutoHyphens w:val="true"/>
    </w:pPr>
    <w:rPr>
      <w:rFonts w:ascii="Arial" w:cs="Tahoma" w:eastAsia="Arial" w:hAnsi="Arial"/>
      <w:b w:val="false"/>
      <w:i w:val="false"/>
      <w:color w:val="00000A"/>
      <w:sz w:val="20"/>
      <w:szCs w:val="24"/>
      <w:u w:val="none"/>
      <w:lang w:bidi="hi-IN" w:eastAsia="zh-CN" w:val="ru-RU"/>
    </w:rPr>
  </w:style>
  <w:style w:styleId="style34" w:type="paragraph">
    <w:name w:val="  ConsPlusCell"/>
    <w:next w:val="style34"/>
    <w:pPr>
      <w:widowControl/>
      <w:suppressAutoHyphens w:val="true"/>
    </w:pPr>
    <w:rPr>
      <w:rFonts w:ascii="Arial" w:cs="Tahoma" w:eastAsia="Arial" w:hAnsi="Arial"/>
      <w:b w:val="false"/>
      <w:i w:val="false"/>
      <w:color w:val="00000A"/>
      <w:sz w:val="20"/>
      <w:szCs w:val="24"/>
      <w:u w:val="none"/>
      <w:lang w:bidi="hi-IN" w:eastAsia="zh-CN" w:val="ru-RU"/>
    </w:rPr>
  </w:style>
  <w:style w:styleId="style35" w:type="paragraph">
    <w:name w:val="  ConsPlusNonformat"/>
    <w:next w:val="style35"/>
    <w:pPr>
      <w:widowControl/>
      <w:suppressAutoHyphens w:val="true"/>
    </w:pPr>
    <w:rPr>
      <w:rFonts w:ascii="Courier New" w:cs="Tahoma" w:eastAsia="Arial" w:hAnsi="Courier New"/>
      <w:b w:val="false"/>
      <w:i w:val="false"/>
      <w:color w:val="00000A"/>
      <w:sz w:val="20"/>
      <w:szCs w:val="24"/>
      <w:u w:val="none"/>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2013-05-13T10:21:04.00Z</dcterms:created>
  <dc:creator>ConsultantPlus</dc:creator>
  <cp:lastModifiedBy>User </cp:lastModifiedBy>
  <cp:lastPrinted>2013-07-16T10:46:40.00Z</cp:lastPrinted>
  <dcterms:modified xsi:type="dcterms:W3CDTF">2013-05-24T11:05:29.00Z</dcterms:modified>
  <cp:revision>2</cp:revision>
  <dc:title>Постановление Правительства РК от 08.04.2013 N 105"О внесении изменений в постановление Правительства Республики Коми от 28 марта 2011 г. N 87 "О программе "Модернизация здравоохранения Республики Коми на 2011 - 2012 годы"(вместе с "Перечнем оборудования, планируемого к приобретению в рамках программы "Модернизация здравоохранения Республики Коми на 2011 - 2013 годы")</dc:title>
</cp:coreProperties>
</file>