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3"/>
        </w:numPr>
        <w:suppressAutoHyphens w:val="false"/>
        <w:bidi w:val="0"/>
        <w:spacing w:lineRule="auto" w:line="360" w:before="0" w:after="0"/>
        <w:ind w:left="0" w:right="0" w:firstLine="850"/>
        <w:contextualSpacing/>
        <w:jc w:val="both"/>
        <w:outlineLvl w:val="1"/>
        <w:rPr>
          <w:rFonts w:ascii="Times New Roman" w:hAnsi="Times New Roman"/>
          <w:b w:val="false"/>
          <w:b w:val="false"/>
          <w:bCs w:val="false"/>
          <w:sz w:val="28"/>
          <w:szCs w:val="28"/>
        </w:rPr>
      </w:pPr>
      <w:r>
        <w:rPr>
          <w:rFonts w:cs="Times New Roman"/>
          <w:b w:val="false"/>
          <w:bCs w:val="false"/>
          <w:sz w:val="28"/>
          <w:szCs w:val="28"/>
          <w:lang w:val="kpv-RU"/>
        </w:rPr>
        <w:t>11.12.2020</w:t>
      </w:r>
    </w:p>
    <w:p>
      <w:pPr>
        <w:pStyle w:val="Normal"/>
        <w:widowControl/>
        <w:numPr>
          <w:ilvl w:val="0"/>
          <w:numId w:val="0"/>
        </w:numPr>
        <w:suppressAutoHyphens w:val="false"/>
        <w:bidi w:val="0"/>
        <w:spacing w:lineRule="auto" w:line="360" w:before="0" w:after="0"/>
        <w:ind w:left="0" w:right="0" w:firstLine="850"/>
        <w:contextualSpacing/>
        <w:jc w:val="both"/>
        <w:outlineLvl w:val="1"/>
        <w:rPr>
          <w:b/>
          <w:b/>
          <w:bCs/>
        </w:rPr>
      </w:pPr>
      <w:r>
        <w:rPr>
          <w:rFonts w:cs="Times New Roman"/>
          <w:b/>
          <w:bCs/>
          <w:sz w:val="28"/>
          <w:szCs w:val="28"/>
          <w:lang w:val="kpv-RU"/>
        </w:rPr>
        <w:t>Владимир Уйба видзӧдліс, кыдзи збыльмӧдӧны Воркутаса ТЭЦ</w:t>
        <w:noBreakHyphen/>
        <w:t>2 газифицируйтӧм серти Россияса Президентлысь тшӧктӧмсӧ</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cs="Times New Roman"/>
          <w:b w:val="false"/>
          <w:bCs w:val="false"/>
          <w:sz w:val="28"/>
          <w:szCs w:val="28"/>
          <w:lang w:val="kpv-RU"/>
        </w:rPr>
        <w:t>2021 воӧ электростанциясӧ кӧсйӧны вуджӧдны из шом вылысь биару вылӧ. Тайӧ бурмӧдас экология, кыпӧдас Воркутаӧс энергияӧн могмӧдӧмлысь зумыдлунсӧ да окталунсӧ.</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cs="Times New Roman"/>
          <w:b w:val="false"/>
          <w:bCs w:val="false"/>
          <w:sz w:val="28"/>
          <w:szCs w:val="28"/>
          <w:lang w:val="kpv-RU"/>
        </w:rPr>
        <w:t xml:space="preserve">Казьтыштам, 2020 вося кӧч тӧлысьӧ «Т Плюс» </w:t>
      </w:r>
      <w:r>
        <w:rPr>
          <w:rFonts w:eastAsia="Noto Serif CJK SC" w:cs="Times New Roman"/>
          <w:b w:val="false"/>
          <w:bCs w:val="false"/>
          <w:color w:val="auto"/>
          <w:kern w:val="2"/>
          <w:sz w:val="28"/>
          <w:szCs w:val="28"/>
          <w:lang w:val="kpv-RU" w:eastAsia="zh-CN" w:bidi="hi-IN"/>
        </w:rPr>
        <w:t>публичнӧй акционер котырлӧн энергохолдинг збыльмӧдіс Воркутаса ва шонтан шӧр котельнӧй природнӧй биару сотӧм вылӧ вуджӧдӧм серти инвестиция проект (таӧдз шӧр ломтасӧн вӧлі мазут). Тайӧ сідзжӧ вӧлі Россия Федерацияса Президентлӧн тшӧктӧмъяс лыдысь ӧтиӧн.</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eastAsia="Noto Serif CJK SC" w:cs="Times New Roman"/>
          <w:b w:val="false"/>
          <w:bCs w:val="false"/>
          <w:color w:val="auto"/>
          <w:kern w:val="2"/>
          <w:sz w:val="28"/>
          <w:szCs w:val="28"/>
          <w:lang w:val="kpv-RU" w:eastAsia="zh-CN" w:bidi="hi-IN"/>
        </w:rPr>
        <w:t>Воркутаса Т</w:t>
      </w:r>
      <w:r>
        <w:rPr>
          <w:rFonts w:eastAsia="Noto Serif CJK SC" w:cs="Times New Roman"/>
          <w:b w:val="false"/>
          <w:bCs w:val="false"/>
          <w:color w:val="auto"/>
          <w:kern w:val="2"/>
          <w:sz w:val="28"/>
          <w:szCs w:val="28"/>
          <w:lang w:val="kpv-RU" w:eastAsia="zh-CN" w:bidi="hi-IN"/>
        </w:rPr>
        <w:t>ЭЦ</w:t>
      </w:r>
      <w:r>
        <w:rPr>
          <w:rFonts w:eastAsia="Noto Serif CJK SC" w:cs="Times New Roman"/>
          <w:b w:val="false"/>
          <w:bCs w:val="false"/>
          <w:color w:val="auto"/>
          <w:kern w:val="2"/>
          <w:sz w:val="28"/>
          <w:szCs w:val="28"/>
          <w:lang w:val="kpv-RU" w:eastAsia="zh-CN" w:bidi="hi-IN"/>
        </w:rPr>
        <w:t>-2 уджалӧ 1955 восянь. Могмӧдӧ электроэнергияӧн Воркута кар, мыйкӧ мында Инта кар, а сідзжӧ могмӧдӧ шоныдӧн да пӧсь воӧн Воргашор да Севернӧй посёлокъяс. Объектыс лоӧ Коми Республикаса энергосистемалӧн Ылі Войвывса медбӧр электростанцияӧн.</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eastAsia="Noto Serif CJK SC" w:cs="Times New Roman"/>
          <w:b w:val="false"/>
          <w:bCs w:val="false"/>
          <w:color w:val="auto"/>
          <w:kern w:val="2"/>
          <w:sz w:val="28"/>
          <w:szCs w:val="28"/>
          <w:lang w:val="kpv-RU" w:eastAsia="zh-CN" w:bidi="hi-IN"/>
        </w:rPr>
        <w:t>Талун кежлӧ вайӧма котлоагрегатъяс техническӧя выльмӧдӧм вылӧ оборудование, помалӧма котлоагрегатъяс вылын стрӧитчан да монтажнӧй уджъяс (9 котёлысь выльмӧдӧма сизимсӧ), монтируйтӧны электрооборудование, дасьтысьӧны лӧсьӧдны Технология процессӧн веськӧдлан автоматизируйтӧм система.</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eastAsia="Noto Serif CJK SC" w:cs="Times New Roman"/>
          <w:b w:val="false"/>
          <w:bCs w:val="false"/>
          <w:color w:val="auto"/>
          <w:kern w:val="2"/>
          <w:sz w:val="28"/>
          <w:szCs w:val="28"/>
          <w:lang w:val="kpv-RU" w:eastAsia="zh-CN" w:bidi="hi-IN"/>
        </w:rPr>
        <w:t xml:space="preserve">2020 во помӧдз </w:t>
      </w:r>
      <w:r>
        <w:rPr>
          <w:rFonts w:eastAsia="Noto Serif CJK SC" w:cs="Times New Roman"/>
          <w:b w:val="false"/>
          <w:bCs w:val="false"/>
          <w:color w:val="auto"/>
          <w:kern w:val="2"/>
          <w:sz w:val="28"/>
          <w:szCs w:val="28"/>
          <w:lang w:val="kpv-RU" w:eastAsia="zh-CN" w:bidi="hi-IN"/>
        </w:rPr>
        <w:t>В</w:t>
      </w:r>
      <w:r>
        <w:rPr>
          <w:rFonts w:eastAsia="Noto Serif CJK SC" w:cs="Times New Roman"/>
          <w:b w:val="false"/>
          <w:bCs w:val="false"/>
          <w:color w:val="auto"/>
          <w:kern w:val="2"/>
          <w:sz w:val="28"/>
          <w:szCs w:val="28"/>
          <w:lang w:val="kpv-RU" w:eastAsia="zh-CN" w:bidi="hi-IN"/>
        </w:rPr>
        <w:t>оркутаса ТЭЦ-2 лоас дась примитны биару.</w:t>
      </w:r>
      <w:r>
        <w:br w:type="page"/>
      </w:r>
    </w:p>
    <w:p>
      <w:pPr>
        <w:pStyle w:val="2"/>
        <w:widowControl/>
        <w:numPr>
          <w:ilvl w:val="1"/>
          <w:numId w:val="3"/>
        </w:numPr>
        <w:suppressAutoHyphens w:val="false"/>
        <w:bidi w:val="0"/>
        <w:spacing w:lineRule="auto" w:line="360" w:before="0" w:after="0"/>
        <w:ind w:left="0" w:right="0" w:firstLine="850"/>
        <w:contextualSpacing/>
        <w:jc w:val="both"/>
        <w:outlineLvl w:val="1"/>
        <w:rPr>
          <w:rFonts w:ascii="Times New Roman" w:hAnsi="Times New Roman"/>
          <w:b w:val="false"/>
          <w:b w:val="false"/>
          <w:bCs w:val="false"/>
          <w:sz w:val="28"/>
          <w:szCs w:val="28"/>
        </w:rPr>
      </w:pPr>
      <w:r>
        <w:rPr>
          <w:rFonts w:cs="Times New Roman"/>
          <w:b w:val="false"/>
          <w:bCs w:val="false"/>
          <w:sz w:val="28"/>
          <w:szCs w:val="28"/>
          <w:lang w:val="kpv-RU"/>
        </w:rPr>
        <w:t>11.12.2020</w:t>
      </w:r>
    </w:p>
    <w:p>
      <w:pPr>
        <w:pStyle w:val="1"/>
        <w:widowControl/>
        <w:numPr>
          <w:ilvl w:val="0"/>
          <w:numId w:val="0"/>
        </w:numPr>
        <w:suppressAutoHyphens w:val="false"/>
        <w:bidi w:val="0"/>
        <w:spacing w:lineRule="auto" w:line="360" w:before="0" w:after="0"/>
        <w:ind w:left="0" w:right="0" w:firstLine="850"/>
        <w:contextualSpacing/>
        <w:jc w:val="both"/>
        <w:outlineLvl w:val="1"/>
        <w:rPr>
          <w:rFonts w:ascii="Times New Roman" w:hAnsi="Times New Roman"/>
          <w:b/>
          <w:b/>
          <w:bCs/>
          <w:sz w:val="28"/>
          <w:szCs w:val="28"/>
        </w:rPr>
      </w:pPr>
      <w:r>
        <w:rPr>
          <w:rFonts w:cs="Times New Roman" w:ascii="Times New Roman" w:hAnsi="Times New Roman"/>
          <w:b/>
          <w:bCs/>
          <w:sz w:val="28"/>
          <w:szCs w:val="28"/>
          <w:lang w:val="kpv-RU" w:eastAsia="zh-CN" w:bidi="hi-IN"/>
        </w:rPr>
        <w:t>Владимир Уйба проинспектировал ход исполнения поручения Президента России по газификации воркутинской ТЭЦ-2</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В 2021 году электростанцию планируется перевести с угля на газ, что позволит улучшить экологическую обстановку, повысить надёжность и эффективность энергоснабжения Воркуты.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Напомним, в сентябре 2020 года энергохолдингом ПАО «Т Плюс» был реализован инвестиционный проект по переводу Воркутинской Центральной водогрейной котельной на сжигание природного газа (до этого основным топливом был мазут). Это также было одним из поручений Президента Российской Федерации.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Воркутинская ТЭЦ-2 введена в эксплуатацию в 1955 году. Обеспечивает электроэнергией город Воркуту, частично город Инту, а также производит тепло и горячую воду для посёлков Воргашор и Северный. Объект является замыкающим звеном электростанций Крайнего Севера энергосистемы Республики Коми.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На сегодняшний день завершена поставка оборудования для технического перевооружения котлоагрегатов, строительно-монтажные работы на котлоагрегатах (из 9 котлов реконструировано 7), монтируется электрооборудование и ведётся подготовка для установки Автоматизированной системы управления технологическим процессом.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До конца 2020 года воркутинская ТЭЦ-2 будет полностью готова к приёму газа. </w:t>
      </w:r>
    </w:p>
    <w:p>
      <w:pPr>
        <w:pStyle w:val="Normal"/>
        <w:widowControl/>
        <w:numPr>
          <w:ilvl w:val="0"/>
          <w:numId w:val="0"/>
        </w:numPr>
        <w:suppressAutoHyphens w:val="false"/>
        <w:bidi w:val="0"/>
        <w:spacing w:lineRule="auto" w:line="360" w:before="0" w:after="0"/>
        <w:ind w:left="0" w:right="0" w:firstLine="850"/>
        <w:contextualSpacing/>
        <w:jc w:val="both"/>
        <w:outlineLvl w:val="1"/>
        <w:rPr>
          <w:rFonts w:ascii="Times New Roman" w:hAnsi="Times New Roman"/>
          <w:b w:val="false"/>
          <w:b w:val="false"/>
          <w:bCs w:val="false"/>
          <w:sz w:val="28"/>
          <w:szCs w:val="28"/>
        </w:rPr>
      </w:pPr>
      <w:r>
        <w:rPr>
          <w:rFonts w:cs="Times New Roman"/>
          <w:b w:val="false"/>
          <w:bCs w:val="false"/>
          <w:sz w:val="28"/>
          <w:szCs w:val="28"/>
          <w:lang w:val="kpv-RU" w:eastAsia="zh-CN" w:bidi="hi-IN"/>
        </w:rPr>
        <w:t>Габова 1100</w:t>
      </w:r>
    </w:p>
    <w:p>
      <w:pPr>
        <w:pStyle w:val="Normal"/>
        <w:widowControl/>
        <w:bidi w:val="0"/>
        <w:spacing w:lineRule="auto" w:line="360" w:before="0" w:after="0"/>
        <w:ind w:left="0" w:right="0" w:hanging="0"/>
        <w:jc w:val="both"/>
        <w:rPr>
          <w:rFonts w:cs="Times New Roman"/>
          <w:b w:val="false"/>
          <w:b w:val="false"/>
          <w:bCs w:val="false"/>
          <w:sz w:val="28"/>
          <w:szCs w:val="28"/>
          <w:lang w:val="kpv-RU"/>
        </w:rPr>
      </w:pPr>
      <w:r>
        <w:rPr>
          <w:rFonts w:cs="Times New Roman"/>
          <w:b w:val="false"/>
          <w:bCs w:val="false"/>
          <w:sz w:val="28"/>
          <w:szCs w:val="28"/>
          <w:lang w:val="kpv-RU"/>
        </w:rPr>
      </w:r>
    </w:p>
    <w:p>
      <w:pPr>
        <w:pStyle w:val="1"/>
        <w:widowControl/>
        <w:numPr>
          <w:ilvl w:val="0"/>
          <w:numId w:val="2"/>
        </w:numPr>
        <w:bidi w:val="0"/>
        <w:spacing w:lineRule="auto" w:line="360" w:before="0" w:after="0"/>
        <w:ind w:left="0" w:right="0" w:hanging="0"/>
        <w:jc w:val="center"/>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5451</TotalTime>
  <Application>LibreOffice/6.4.2.2$Linux_X86_64 LibreOffice_project/4e471d8c02c9c90f512f7f9ead8875b57fcb1ec3</Application>
  <Pages>2</Pages>
  <Words>296</Words>
  <Characters>2151</Characters>
  <CharactersWithSpaces>2437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2020-12-11T10:58:42Z</cp:lastPrinted>
  <dcterms:modified xsi:type="dcterms:W3CDTF">2020-12-14T12:51:30Z</dcterms:modified>
  <cp:revision>1151</cp:revision>
  <dc:subject/>
  <dc:title> </dc:title>
</cp:coreProperties>
</file>