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>Владимир Уйба 2035 воӧдз Коми Республикаӧс социальнӧй да экономика боксянь сӧвмӧдан стратегия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Владимир Уйба видео пыр шыӧдчис олысьяс дорӧ. Владимир Уйба шыӧдчӧмын юӧртіс сы йылысь, кыдзи мунӧ 2035 воӧдз Коми Республикаӧс социальнӧй да экономика боксянь сӧвмӧдан стратегия збыльмӧдӧм серти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регионлӧн</w:t>
      </w:r>
      <w:r>
        <w:rPr>
          <w:b w:val="false"/>
          <w:bCs w:val="false"/>
          <w:sz w:val="28"/>
          <w:szCs w:val="28"/>
          <w:lang w:val="kpv-RU"/>
        </w:rPr>
        <w:t xml:space="preserve"> Каналан Сӧветса депутатъяскӧд ӧтувъя уджыс.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11.02.2021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Стратегии социально-экономического развития Республики Коми на период до 2035 года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</w:rPr>
        <w:t>Глава республики Владимир Уйба записал видеообращение к жителям, в котором рассказал о совместной работе с депутатами Госсовета Коми по реализации Стратегии социально-экономического развития Республики Коми на период до 2035 года.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>Габова 287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Application>LibreOffice/5.4.3.2$Linux_x86 LibreOffice_project/92a7159f7e4af62137622921e809f8546db437e5</Application>
  <Pages>1</Pages>
  <Words>96</Words>
  <Characters>644</Characters>
  <CharactersWithSpaces>733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2021-02-12T14:02:17Z</cp:lastPrinted>
  <dcterms:modified xsi:type="dcterms:W3CDTF">2021-02-12T15:38:46Z</dcterms:modified>
  <cp:revision>1887</cp:revision>
  <dc:subject/>
  <dc:title> </dc:title>
</cp:coreProperties>
</file>