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ascii="Times New Roman" w:hAnsi="Times New Roman"/>
          <w:b w:val="false"/>
          <w:bCs w:val="false"/>
          <w:color w:val="00000A"/>
          <w:kern w:val="0"/>
          <w:sz w:val="28"/>
          <w:szCs w:val="28"/>
          <w:lang w:val="kpv-RU" w:eastAsia="zh-CN" w:bidi="ar-SA"/>
        </w:rPr>
        <w:t>2022.01.28</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bCs/>
          <w:color w:val="00000A"/>
          <w:kern w:val="0"/>
          <w:sz w:val="28"/>
          <w:szCs w:val="28"/>
          <w:lang w:val="kpv-RU" w:eastAsia="zh-CN" w:bidi="ar-SA"/>
        </w:rPr>
        <w:t>Мутасъяс комплекснӧя сӧвмӧдан принцип лоӧ подув пуктанаӧн Коми Республикаса быд муниципалитетлы</w:t>
      </w:r>
      <w:r>
        <w:rPr>
          <w:rFonts w:eastAsia="Times New Roman" w:cs="Times New Roman"/>
          <w:b w:val="false"/>
          <w:bCs w:val="false"/>
          <w:color w:val="00000A"/>
          <w:kern w:val="0"/>
          <w:sz w:val="28"/>
          <w:szCs w:val="28"/>
          <w:lang w:val="kpv-RU" w:eastAsia="zh-CN" w:bidi="ar-SA"/>
        </w:rPr>
        <w:t xml:space="preserve"> </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Татшӧм мог пуктіс регионса Юралысь Владимир Уйба республикаса Веськӧдлан котырлӧн таво вылӧ медводдза заседание дырйи.</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«Мутас комплекснӧя сӧвмӧдӧм – тайӧ механизм, мый сетӧ позянлун решитны могъяс гражданаӧс киссьӧм, аварийнӧй оланінысь мӧдлаӧ овмӧдӧмын, миян муниципалитетъясын комплекснӧя стрӧитчӧмын. Сійӧ сетӧ позянлун бурмӧдны олан условиеяс, могмӧдны олысьясӧс коммунальнӧй, транспорт, инженернӧй да социальнӧй инфраструктураӧн», - пасйис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Докладӧн сёрнитіс Коми Республикаса стрӧитчан, оланін да коммунальнӧй овмӧс министр Игорь Кузьмичев. Сійӧ пасйис, мый 2021 воӧ регионын тырвыйӧ лӧсьӧдӧма мутасъяс комплекснӧя сӧвмӧдан механизмӧн вӧдитчӧм вылӧ нормативнӧй инӧда база.</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Сыктывкарын мутасъяс комплекснӧя сӧвмӧдӧмыс отсалас могмӧдны выль оланінӧн 10 сюрс сайӧ мортӧс. Регионса юркарын меститчӧ Коми Республикаса оланін фондлӧн 27 %. Та дырйи Сыктывкарын колӧ мӧдлаӧ овмӧдны уна патераа 892 олан керкаысь. Найӧс шуӧма аварийнӧйӧн 2017 вося тӧвшӧр тӧлысь 1 лун бӧрын. Кызвын кык судтаа пу керкаыс сулалӧ кар шӧрын. Тайӧ керкаяссӧ капитальнӧя дзоньталӧмыс оз отсав, ӧд найӧс оз позь вӧчны ӧнія нормаяслы да олысьяслӧн олан качество серти корӧмъяслы лӧсяланаӧн.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Коми Республикаса стрӧитчан министерство ӧні анализируйтӧ Сыктывкарса вит стрӧитчӧмин. Тайӧ участокъясын оланінъяслӧн ӧтувъя площадьыс 222 сюрс квадратнӧй метр.</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Мутасъяс комплекснӧя сӧвмӧдан уджтаслӧн медводдза пилотнӧй проектӧн лоас Оплеснин – Октябр шӧртуй – Катаев – Кирпич уличаяс бердын район. Тані сулалӧны киссьӧм да аварийнӧй кык судтаа олан керкаяс, эмӧсь овтӧм стрӧйбаяс, ӧтуволанінъяс да ӧтйӧза зданиеяс.</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«Сыктывкар» кар кытшса муниципальнӧй юкӧнлӧн администрациякӧд ӧтвылысь дасьтӧма тайӧ районын мутасъяс комплекснӧя сӧвмӧдан туй карта. Медшӧр мытшӧдыс – «Сыктывкар аэродромлысь аэродромбердса мутас лӧсьӧдӧм йылысь» Росавиациялӧн тшӧктӧд. Документын гижӧма, мый пилотнӧй проект серти позьӧ кыпӧдны сӧмын 6 судтаӧдз уна патераа олан керкаяс. Артмӧ, мый тайӧ мутасын 62,4 сюрс квадратнӧй метр пыдди позьӧ стрӧитны сӧмын 31,1 сюрс квадратнӧй метр оланін. Татшӧм серпасыс лоас и мукӧд мутасын.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«Джуджда серти кутӧдыс ёна чинтӧ проектируйтан кварталлысь финансъяс да экономика боксянь кысканлунсӧ, лоас сьӧкыдджык корны татчӧ инвесторъясӧс. Чайтам, мый колӧ пыртны вежсьӧмъяс Росавиациялӧн тшӧктӧдӧ: выль пӧв видлавны Сыктывкар аэродромлӧн подзонаясын керкаяслысь позяна джудждасӧ», - вӧзйис Игорь Кузьмичев.</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Коми Республикаса Юралысь тшӧктіс регионса Экономика сӧвмӧдан министерстволы видлавны тайӧ юалӧмсӧ Росавиациякӧд, Россия Федерацияса транспорт министерствокӧд да «Комиавиатранс» акционер котыркӧд, коді лоӧ Сыктывкар аэропорт киын кутысьӧн.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«Веськӧдлан котырлӧн мог – зільмӧдны меставывса асвеськӧдлан органъяслысь уджсӧ республикаса став кар-районын мутасъяс сӧвмӧдӧм серти. Таысь кындзи, тайӧ нырвизьыс лоас Регионӧс социальнӧя да экономика боксянь сӧвмӧдан уджтаслӧн юкӧнӧн. Таво регионса Веськӧдлан котырлӧн быд заседание дырйи ми кутам видлавны муниципалитетъясын, медводз миян монокаръясын да агломерацияясын, промышленносьт кыпӧдӧмӧн мутасъяс комплекснӧя сӧвмӧдӧмсӧ. Колӧ вӧчны уна удж, но ӧні кӧ тайӧс огӧ заводитӧй вӧчны, тайӧ падмӧдас республика да став муниципалитет сӧвмӧдӧмсӧ», - кывкӧрталіс Владимир Уйба.</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ascii="Times New Roman" w:hAnsi="Times New Roman"/>
          <w:b w:val="false"/>
          <w:bCs w:val="false"/>
          <w:color w:val="00000A"/>
          <w:kern w:val="0"/>
          <w:sz w:val="28"/>
          <w:szCs w:val="28"/>
          <w:lang w:val="kpv-RU" w:eastAsia="zh-CN" w:bidi="ar-SA"/>
        </w:rPr>
        <w:t>2022.01.28</w:t>
      </w:r>
    </w:p>
    <w:p>
      <w:pPr>
        <w:pStyle w:val="1"/>
        <w:widowControl/>
        <w:numPr>
          <w:ilvl w:val="0"/>
          <w:numId w:val="0"/>
        </w:numPr>
        <w:suppressAutoHyphens w:val="false"/>
        <w:bidi w:val="0"/>
        <w:spacing w:lineRule="auto" w:line="360" w:before="0" w:after="0"/>
        <w:ind w:left="0" w:right="0" w:firstLine="709"/>
        <w:contextualSpacing/>
        <w:jc w:val="both"/>
        <w:outlineLvl w:val="0"/>
        <w:rPr>
          <w:b/>
          <w:b/>
          <w:bCs/>
          <w:sz w:val="27"/>
          <w:szCs w:val="27"/>
        </w:rPr>
      </w:pPr>
      <w:r>
        <w:rPr>
          <w:rFonts w:eastAsia="Times New Roman" w:cs="Times New Roman" w:ascii="Times New Roman" w:hAnsi="Times New Roman"/>
          <w:b/>
          <w:bCs/>
          <w:color w:val="00000A"/>
          <w:kern w:val="0"/>
          <w:sz w:val="28"/>
          <w:szCs w:val="28"/>
          <w:lang w:val="kpv-RU" w:eastAsia="zh-CN" w:bidi="ar-SA"/>
        </w:rPr>
        <w:t>Принцип комплексного развития территорий станет основополагающим для каждого муниципалитета Республики Коми</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Такую задачу поставил глава региона Владимир Уйба на первом в этом году заседании республиканского Правительства.</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 xml:space="preserve">«Комплексное развитие территории – это механизм, который даёт возможность решить ряд задач в вопросах переселения граждан из ветхого, аварийного жилья, комплексной застройки в наших муниципалитетах. Он позволяет системно решать вопросы улучшения условий проживания, обеспечения населения коммунальной, транспортной, инженерной и социальной инфраструктурой», - отметил Владимир Уйба.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 xml:space="preserve">С докладом выступил министр строительства и жилищно-коммунального хозяйства Республики Коми Игорь Кузьмичев. Он отметил, что в 2021 году в регионе в полном объёме сформирована нормативно-правовая база для применения механизма комплексного развития территорий (КРТ).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 xml:space="preserve">Комплексное развитие территорий в Сыктывкаре позволит обеспечить новым жильём более 10 тысяч человек. На столицу региона приходится порядка 27 % всего жилищного фонда Республики Коми. При этом в Сыктывкаре требуется расселить 892 многоквартирных жилых дома, признанных аварийными после 1 января 2017 года. Большая часть деревянных двухэтажных домов находится в центральной части города. Проведение капитального ремонта в таких домах нецелесообразно, потому что их технически невозможно привести в соответствие современным нормам и требованиям качества жизни населения.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 xml:space="preserve">Минстрой Республики Коми сейчас проводит предварительный анализ в отношении пяти застроенных территорий, расположенных в Сыктывкаре. Общая расчётная площадь новой многоквартирной застройки этих участков ориентировочно составляет более 222 тысяч квадратных метров жилья.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 xml:space="preserve">Первым пилотным проектом программы КРТ станет район Сыктывкара в границах улиц: Оплеснина – Октябрьский проспект – Катаева – Кирпичная. Эта территория застроена двухэтажными этажными жилыми домами в ветхом и аварийном состоянии, имеются нежилые строения, общежития и общественные здания.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 xml:space="preserve">Совместно с администрацией МОГО «Сыктывкар» проработана дорожная карта реализации КРТ на этой территории. Основным препятствием является приказ Росавиации «Об установлении приаэродромной территории аэродрома Сыктывкар». Согласно документу, проектирование многоквартирных жилых домов по пилотному проекту возможно высотой до 6 этажей. Это означает, что градостроительный потенциал данной территории уменьшается с 62,4 тысяч квадратных метров жилья до 31,1 тысячи. Такая же ситуация возникнет и по остальным территориям.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 xml:space="preserve">«Это ограничение по высоте значительно снижает финансово-экономическую привлекательность проектируемого квартала и осложняет привлечение инвестора на данные территории. Считаем необходимым внесение изменений в приказ Росавиации в части пересмотра высоты допустимых абсолютных отметок подзон аэродрома Сыктывкар», - внес предложение Игорь Кузьмичев.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 xml:space="preserve">Глава Республики Коми поручил региональному Минэкономразвития проработать вопрос с Росавиацией во взаимодействии с Минтрансом Российской Федерации и АО «Комиавиатранс», который является собственником аэропорта Сыктывкара.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sz w:val="27"/>
          <w:szCs w:val="27"/>
        </w:rPr>
      </w:pPr>
      <w:r>
        <w:rPr>
          <w:b w:val="false"/>
          <w:bCs w:val="false"/>
          <w:sz w:val="28"/>
          <w:szCs w:val="28"/>
        </w:rPr>
        <w:t>«Задача Правительства – активизировать работу органов местного самоуправления по комплексному развитию территорий во всех городах и районах республики. Кроме того, это направление должно стать составной частью Программы социально-экономического развития региона. В этом году мы будем целенаправленно на каждом заседании регионального Правительства рассматривать комплексное развитие территорий муниципальных образований, прежде всего наших моногородов и агломераций с элементами промышленного роста. Потребуется провести большой объём работы, но если ей не заняться сейчас, то это будет тормозить развитие республики и всех её муниципалитетов», - резюмировал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Times New Roman"/>
          <w:color w:val="00000A"/>
          <w:kern w:val="0"/>
          <w:lang w:val="kpv-RU" w:eastAsia="zh-CN" w:bidi="ar-SA"/>
        </w:rPr>
      </w:pPr>
      <w:r>
        <w:rPr>
          <w:rFonts w:eastAsia="Times New Roman" w:cs="Times New Roman"/>
          <w:color w:val="00000A"/>
          <w:kern w:val="0"/>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sz w:val="27"/>
          <w:szCs w:val="27"/>
        </w:rPr>
      </w:pPr>
      <w:r>
        <w:rPr>
          <w:rFonts w:eastAsia="Times New Roman" w:cs="Times New Roman"/>
          <w:b w:val="false"/>
          <w:bCs w:val="false"/>
          <w:color w:val="00000A"/>
          <w:kern w:val="0"/>
          <w:sz w:val="28"/>
          <w:szCs w:val="28"/>
          <w:lang w:val="kpv-RU" w:eastAsia="zh-CN" w:bidi="ar-SA"/>
        </w:rPr>
        <w:t>Габова 3307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5892</TotalTime>
  <Application>LibreOffice/6.4.2.2$Linux_X86_64 LibreOffice_project/4e471d8c02c9c90f512f7f9ead8875b57fcb1ec3</Application>
  <Pages>5</Pages>
  <Words>863</Words>
  <Characters>6234</Characters>
  <CharactersWithSpaces>7092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2022-01-28T10:54:02Z</cp:lastPrinted>
  <dcterms:modified xsi:type="dcterms:W3CDTF">2022-01-28T15:40:47Z</dcterms:modified>
  <cp:revision>1233</cp:revision>
  <dc:subject/>
  <dc:title> </dc:title>
</cp:coreProperties>
</file>