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2022.04.07</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eastAsia="zh-CN" w:bidi="ar-SA"/>
        </w:rPr>
        <w:t>Промышленнӧй предприятиеяс водзӧ инвестируйтӧны Коми Республикаӧс социальнӧя да экономика боксянь сӧвмӧдӧмӧ</w:t>
      </w:r>
    </w:p>
    <w:p>
      <w:pPr>
        <w:pStyle w:val="3"/>
        <w:keepNext w:val="true"/>
        <w:widowControl/>
        <w:numPr>
          <w:ilvl w:val="0"/>
          <w:numId w:val="0"/>
        </w:numPr>
        <w:tabs>
          <w:tab w:val="clear" w:pos="347"/>
          <w:tab w:val="left" w:pos="510" w:leader="none"/>
        </w:tabs>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 xml:space="preserve">Рытыввывсянь санкцияяс </w:t>
      </w:r>
      <w:r>
        <w:rPr>
          <w:rFonts w:eastAsia="Times New Roman" w:cs="Times New Roman"/>
          <w:b w:val="false"/>
          <w:bCs w:val="false"/>
          <w:color w:val="00000A"/>
          <w:kern w:val="0"/>
          <w:sz w:val="28"/>
          <w:szCs w:val="28"/>
          <w:u w:val="none"/>
          <w:lang w:val="kpv-RU" w:eastAsia="zh-CN" w:bidi="ar-SA"/>
        </w:rPr>
        <w:t>дырйи</w:t>
      </w:r>
      <w:r>
        <w:rPr>
          <w:rFonts w:eastAsia="Times New Roman" w:cs="Times New Roman"/>
          <w:b w:val="false"/>
          <w:bCs w:val="false"/>
          <w:color w:val="00000A"/>
          <w:kern w:val="0"/>
          <w:sz w:val="28"/>
          <w:szCs w:val="28"/>
          <w:u w:val="none"/>
          <w:lang w:val="kpv-RU" w:eastAsia="zh-CN" w:bidi="ar-SA"/>
        </w:rPr>
        <w:t xml:space="preserve"> Коми Республикаын гырысь бизнесыс оз чинты регион сӧвмӧдӧм вылӧ инвестицияяслысь ыдждасӧ. Косму тӧлысь 6 лунӧ Коми Республикаса Веськӧдлан котыр да «Монди Сыктывкарса ЛПК» нюжӧдісны ӧтув уджалӧм йылысь артмӧдчӧм. 2022 воын сійӧс сьӧмӧн могмӧдан мындаыс лоис миллиард джынйысь унджык шайт.</w:t>
      </w:r>
    </w:p>
    <w:p>
      <w:pPr>
        <w:pStyle w:val="Normal"/>
        <w:widowControl/>
        <w:numPr>
          <w:ilvl w:val="0"/>
          <w:numId w:val="0"/>
        </w:numPr>
        <w:tabs>
          <w:tab w:val="clear" w:pos="347"/>
          <w:tab w:val="left" w:pos="510" w:leader="none"/>
        </w:tabs>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«Талун ми кырымалім зэв тӧдчана артмӧдчӧм. Кырымалім сійӧс сьӧкыд геополитическӧй ситуация дырйи, - пасйис Владимир Уйба. – Та вылӧ видзӧдтӧг, ми гӧгӧрвоам, пыдди пуктам да отсалам ставныслы, коді отсалӧ сӧвмӧдны йӧзкотырсӧ да кутӧ тӧд вылын йӧзлысь коланлунъяссӧ. «Монди Сыктывкарса ЛПК» могмӧдӧ уджалан местаясӧн миян республикаысь нёль да джын сюрс олысьӧс, зіля пырӧдчӧ олан пунктъясса инфраструктура видзӧмӧ, вайӧ сьӧм республиканскӧй сьӧмкудйӧ, зіля участвуйтӧ йӧзлы тӧдчана проектъяс сьӧмӧн могмӧдӧмын. Ми дугдывтӧг кутам сыкӧд йитӧдсӧ. «Монди СЛПК-ӧн» сувтӧдӧм юалӧмъяссӧ дзик пыр юӧртӧны федеральнӧй штаблы, федеральнӧй Веськӧдлан котырлы, медым эз чин производство мындаыс либӧ эз сувт предприятиелӧн уджыс».</w:t>
      </w:r>
    </w:p>
    <w:p>
      <w:pPr>
        <w:pStyle w:val="Normal"/>
        <w:widowControl/>
        <w:numPr>
          <w:ilvl w:val="0"/>
          <w:numId w:val="0"/>
        </w:numPr>
        <w:tabs>
          <w:tab w:val="clear" w:pos="347"/>
          <w:tab w:val="left" w:pos="510" w:leader="none"/>
        </w:tabs>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«Аттьӧала республикаса юрнуӧдысьясӧс отсалӧмысь. Ӧтув ми вӧчам ставсӧ, мый планируйтім. Талун кежлӧ медтӧдчанаыс – могмӧдны комбинатлысь дугдывтӧг уджалӧмсӧ, ӧд сыкӧд йитчӧма унджык йӧзыслӧн бур олӧмыс, - шуис Клаус Пеллер. - Ми бура гӧгӧрвоам, мый и республикаын, и федеральнӧй тшупӧдын мунӧ ыджыд удж, медым отсавны могмӧдны производствонымӧс химикатъясӧн, ладмӧдны логистикасӧ да разьны мукӧд артмӧм мытшӧдсӧ. Тайӧ миянлы зэв тӧдчана. Кута лача, мый ми ог сӧмын видзӧй производство мындасӧ, но и кутам водзӧ сӧвмыны. Миян уджын медтӧдчанатор</w:t>
      </w:r>
      <w:r>
        <w:rPr>
          <w:rFonts w:eastAsia="Times New Roman" w:cs="Times New Roman"/>
          <w:b w:val="false"/>
          <w:bCs w:val="false"/>
          <w:color w:val="00000A"/>
          <w:kern w:val="0"/>
          <w:sz w:val="28"/>
          <w:szCs w:val="28"/>
          <w:u w:val="none"/>
          <w:lang w:val="kpv-RU" w:eastAsia="zh-CN" w:bidi="ar-SA"/>
        </w:rPr>
        <w:t>йыс</w:t>
      </w:r>
      <w:r>
        <w:rPr>
          <w:rFonts w:eastAsia="Times New Roman" w:cs="Times New Roman"/>
          <w:b w:val="false"/>
          <w:bCs w:val="false"/>
          <w:color w:val="00000A"/>
          <w:kern w:val="0"/>
          <w:sz w:val="28"/>
          <w:szCs w:val="28"/>
          <w:u w:val="none"/>
          <w:lang w:val="kpv-RU" w:eastAsia="zh-CN" w:bidi="ar-SA"/>
        </w:rPr>
        <w:t xml:space="preserve"> – тайӧ республикалы да сылӧн олысьяслы отсасьӧм. Тайӧ абу сӧмын уна вося традиция, но и йӧз вӧсна кывкутӧм».</w:t>
      </w:r>
    </w:p>
    <w:p>
      <w:pPr>
        <w:pStyle w:val="Normal"/>
        <w:widowControl/>
        <w:numPr>
          <w:ilvl w:val="0"/>
          <w:numId w:val="0"/>
        </w:numPr>
        <w:tabs>
          <w:tab w:val="clear" w:pos="347"/>
          <w:tab w:val="left" w:pos="510" w:leader="none"/>
        </w:tabs>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Артмӧдчӧмлӧн сьӧм мындаыс – 533,4 млн шайт. Тайӧ сьӧмсӧ веськӧдасны татшӧм могъяс вылӧ:</w:t>
      </w:r>
    </w:p>
    <w:p>
      <w:pPr>
        <w:pStyle w:val="Normal"/>
        <w:widowControl/>
        <w:numPr>
          <w:ilvl w:val="0"/>
          <w:numId w:val="0"/>
        </w:numPr>
        <w:tabs>
          <w:tab w:val="clear" w:pos="347"/>
          <w:tab w:val="left" w:pos="510" w:leader="none"/>
        </w:tabs>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 республикаса муниципальнӧй юкӧнъяслы отсӧг сетӧм, кӧні уджалӧ «Монди СЛПК» АК (Кулӧмдін, Кӧрткерӧс, Сыктывдін, Луздор, Сыктыв, Удора, Койгорт районъяс да Сыктывкарса Эжва район);</w:t>
      </w:r>
    </w:p>
    <w:p>
      <w:pPr>
        <w:pStyle w:val="Normal"/>
        <w:widowControl/>
        <w:numPr>
          <w:ilvl w:val="0"/>
          <w:numId w:val="0"/>
        </w:numPr>
        <w:tabs>
          <w:tab w:val="clear" w:pos="347"/>
          <w:tab w:val="left" w:pos="510" w:leader="none"/>
        </w:tabs>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 Кулӧмдін районса Немдін сиктын врачебнӧй амбулатория да Дзоль сиктын фельдшер-акушер пункт стрӧитӧм;</w:t>
      </w:r>
    </w:p>
    <w:p>
      <w:pPr>
        <w:pStyle w:val="Normal"/>
        <w:widowControl/>
        <w:numPr>
          <w:ilvl w:val="0"/>
          <w:numId w:val="0"/>
        </w:numPr>
        <w:tabs>
          <w:tab w:val="clear" w:pos="347"/>
          <w:tab w:val="left" w:pos="510" w:leader="none"/>
        </w:tabs>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 Кулӧмдін – Керчомъя автомашина туйсянь Кулӧмдін – Керчомъя – Дзоль автомашина туй видзӧм;</w:t>
      </w:r>
    </w:p>
    <w:p>
      <w:pPr>
        <w:pStyle w:val="Normal"/>
        <w:widowControl/>
        <w:numPr>
          <w:ilvl w:val="0"/>
          <w:numId w:val="0"/>
        </w:numPr>
        <w:tabs>
          <w:tab w:val="clear" w:pos="347"/>
          <w:tab w:val="left" w:pos="510" w:leader="none"/>
        </w:tabs>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 Койгорт-Кузьёль-Воктым-Ком автомашина туй вылын Ыбань ю вомӧн пос стрӧитӧм;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Удора районын </w:t>
      </w:r>
      <w:r>
        <w:rPr>
          <w:rFonts w:eastAsia="Times New Roman" w:cs="Times New Roman"/>
          <w:b w:val="false"/>
          <w:bCs w:val="false"/>
          <w:color w:val="00000A"/>
          <w:kern w:val="0"/>
          <w:sz w:val="28"/>
          <w:szCs w:val="28"/>
          <w:lang w:val="kpv-RU" w:eastAsia="zh-CN" w:bidi="ar-SA"/>
        </w:rPr>
        <w:t>Лун</w:t>
      </w:r>
      <w:r>
        <w:rPr>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Ч</w:t>
      </w:r>
      <w:r>
        <w:rPr>
          <w:b w:val="false"/>
          <w:bCs w:val="false"/>
          <w:sz w:val="28"/>
          <w:szCs w:val="28"/>
          <w:lang w:val="kpv-RU" w:eastAsia="zh-CN" w:bidi="ar-SA"/>
        </w:rPr>
        <w:t>еб</w:t>
      </w:r>
      <w:r>
        <w:rPr>
          <w:rFonts w:eastAsia="Times New Roman" w:cs="Times New Roman"/>
          <w:b w:val="false"/>
          <w:bCs w:val="false"/>
          <w:color w:val="00000A"/>
          <w:kern w:val="0"/>
          <w:sz w:val="28"/>
          <w:szCs w:val="28"/>
          <w:lang w:val="kpv-RU" w:eastAsia="zh-CN" w:bidi="ar-SA"/>
        </w:rPr>
        <w:t>ъ</w:t>
      </w:r>
      <w:r>
        <w:rPr>
          <w:b w:val="false"/>
          <w:bCs w:val="false"/>
          <w:sz w:val="28"/>
          <w:szCs w:val="28"/>
          <w:lang w:val="kpv-RU" w:eastAsia="zh-CN" w:bidi="ar-SA"/>
        </w:rPr>
        <w:t>ю ю вомӧн пос дзоньталӧм;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Веселовка – Перым крайлӧн мудор участокын Сыктывкар – Кудымкар – Перым автомашина туй стрӧитӧм;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республикалӧн коланлунъяс вылӧ лым весалан техника ньӧбӧм;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«Новая генерация» футбольнӧй клублы отсалӧм;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Коми Республикалӧн школаса лесничествояслысь уджсӧ котыртӧм;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w:t>
      </w:r>
      <w:r>
        <w:rPr>
          <w:rFonts w:cs="Times New Roman"/>
          <w:b w:val="false"/>
          <w:bCs w:val="false"/>
          <w:sz w:val="28"/>
          <w:szCs w:val="28"/>
          <w:lang w:val="kpv-RU" w:eastAsia="zh-CN" w:bidi="ar-SA"/>
        </w:rPr>
        <w:t>вӧр юкӧнса ветеранъяслы профилакторийӧ путёвкаяс ньӧбӧм да йӧзлы тӧдчана мукӧд мероприятие нуӧдӧм.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Владимир Уйба аттьӧаліс «Монди СЛПК» компанияӧс да сылысь медыджыд директор Клаус Пеллерӧс регионӧс социальнӧя да экономика боксянь сӧвмӧдӧмын участвуйтӧмысь да юӧртіс, мый Россия Федерацияса Веськӧдлан котыр да Коми Республикаса Веськӧдлан котыр ёна зільӧны, медым предприятиеыс ӧнія условиеяс дырйи </w:t>
      </w:r>
      <w:r>
        <w:rPr>
          <w:rFonts w:eastAsia="Times New Roman" w:cs="Times New Roman"/>
          <w:b w:val="false"/>
          <w:bCs w:val="false"/>
          <w:color w:val="00000A"/>
          <w:kern w:val="0"/>
          <w:sz w:val="28"/>
          <w:szCs w:val="28"/>
          <w:lang w:val="kpv-RU" w:eastAsia="zh-CN" w:bidi="ar-SA"/>
        </w:rPr>
        <w:t>зумыда уджаліс.</w:t>
      </w:r>
      <w:r>
        <w:rPr>
          <w:b w:val="false"/>
          <w:bCs w:val="false"/>
          <w:sz w:val="28"/>
          <w:szCs w:val="28"/>
          <w:lang w:val="kpv-RU" w:eastAsia="zh-CN" w:bidi="ar-SA"/>
        </w:rPr>
        <w:t xml:space="preserve"> </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sz w:val="28"/>
          <w:szCs w:val="28"/>
          <w:lang w:val="kpv-RU" w:eastAsia="zh-CN" w:bidi="ar-SA"/>
        </w:rPr>
        <w:t>2978</w:t>
      </w:r>
      <w:r>
        <w:br w:type="page"/>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2022.04.07</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Промышленные предприятия продолжают инвестировать в социально-экономическое развитие Республики Коми</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На фоне усиления санкционного давления Запада на Россию крупный бизнес в Республике Коми не снижает объёмы инвестиций в развитие региона. 6 апреля Правительство Республики Коми и «Монди Сыктывкарский ЛПК» продлили соглашение о сотрудничестве. Объём его финансирования в 2022 году – свыше полумиллиарда рублей.</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«Сегодня мы подписали очень знаковое соглашение. Подписали в условиях непростой геополитической ситуации, - подчеркнул Владимир Уйба. – Тем не менее, мы движемся путём созидания, уважения, понимания и помощи всем, кто способствует развитию общества и учитывает интересы людей. «Монди Сыктывкарский ЛПК» обеспечивает рабочими местами около четырёх с половиной тысяч жителей нашей республики, активно участвует в поддержании инфраструктуры населённых пунктов, формирует доходную часть республиканского бюджета, принимает активное участие в финансировании социально значимых проектов. Мы круглосуточно находимся на связи. Все вопросы, которые ставятся «Монди СЛПК», в оперативном порядке доводятся до федерального штаба, федерального Правительства, чтобы не допустить снижение объёмов производства, либо приостановки предприятия».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«Благодарю руководство республики за поддержку. Вместе мы выполним всё, что запланировали. Самое главное сегодня – обеспечить беспрерывную работу комбината, ведь от этого зависит благополучие очень многих людей, - сказал Клаус Пеллер. – Мы хорошо понимаем, что и в республике, и на федеральном уровне проводится большая работа, чтобы помочь в обеспечении нашего производства химикатами, наладить логистику и решить другие возникающие вопросы. Для нас это очень важно. Надеюсь, что мы не только сохраним объёмы производства, но и будем развиваться. Очень важная часть нашей деятельности – это поддержка республики и ее жителей. Это не только многолетняя традиция, но и наша социальная ответственность».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Финансовый объём соглашения составляет 533,4 млн рублей. Эти средства будут направлены на следующие цели: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поддержка муниципальных образований республики, на территории которых ведёт хозяйственную деятельность АО «Монди СЛПК» (Усть-Куломский, Корткеросский, Сыктывдинский, Прилузский, Сысольский, Удорский, Койгородский районы и Эжвинский район Сыктывкара);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строительство врачебной амбулатории в селе Усть-Нем и фельдшерско-акушерского пункта в селе Дзёль Усть-Куломского района;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содержание автомобильной дороги Усть-Кулом – Керчомъя – Дзёль от автомобильной дороги Усть-Кулом – Керчомъя;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строительство моста на автодороге Койгородок-Кузьёль-Воктым-Ком р.Ыбань;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ремонт моста через р. Южная Цебьюга в Удорском районе;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строительство автомобильной дороги Сыктывкар – Кудымкар – Пермь на участке Веселовка – граница Пермского края;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приобретение снегоуборочной техники для республиканских нужд;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поддержка футбольного клуба «Новая генерация»;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организация работы школьных лесничеств Республики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приобретение путёвок в профилакторий ветеранам труда лесной отрасли и ряд других социально значимых мероприятий.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Владимир Уйба поблагодарил компанию «Монди СЛПК» и её генерального директора Клауса Пеллера за активное участие в социально-экономическом развитии региона и заявил, что Правительство Российской Федерации и Правительство Республики Коми прикладывают все усилия, чтобы предприятие в текущих геополитических условиях функционировало стабильно. </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5954</TotalTime>
  <Application>LibreOffice/6.4.2.2$Linux_X86_64 LibreOffice_project/4e471d8c02c9c90f512f7f9ead8875b57fcb1ec3</Application>
  <Pages>4</Pages>
  <Words>822</Words>
  <Characters>5672</Characters>
  <CharactersWithSpaces>6495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2022-03-14T11:15:12Z</cp:lastPrinted>
  <dcterms:modified xsi:type="dcterms:W3CDTF">2022-04-07T15:54:12Z</dcterms:modified>
  <cp:revision>1234</cp:revision>
  <dc:subject/>
  <dc:title> </dc:title>
</cp:coreProperties>
</file>