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2022.04.21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Коми Республикаса Каналан Сӧвет сӧгласуйтіс кандидатураяс, кодъясӧс вӧзйис Владимир Уйба регионса Веськӧдлан котырӧ пырысьяслӧн чинъяс вылӧ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 xml:space="preserve">Эльмира Ахмееваӧс сӧгласуйтісны Коми Республикаса Веськӧдлан котырӧн Юрнуӧдысьӧс Медводдза вежысь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чинӧ</w:t>
      </w:r>
      <w:r>
        <w:rPr>
          <w:b w:val="false"/>
          <w:bCs w:val="false"/>
          <w:lang w:val="kpv-RU" w:eastAsia="zh-CN" w:bidi="ar-SA"/>
        </w:rPr>
        <w:t xml:space="preserve">, Марина Каракчиеваӧс – Россия Федерацияса Рытыв-войвыв регионын Коми Республикаӧс петкӧдлысь чинӧ. Татшӧм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помшуӧмсӧ вынсьӧдісны талун, косму тӧлысь 21 лунӧ, Коми Республикалӧн Каналан Сӧветса депутатъяс сессиялӧн заседание дырйи.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>Лунӧн водзджык налысь кандидатураяссӧ видлалісны Коми Республикаса Каналан Сӧвет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лӧн</w:t>
      </w:r>
      <w:r>
        <w:rPr>
          <w:b w:val="false"/>
          <w:bCs w:val="false"/>
          <w:lang w:val="kpv-RU" w:eastAsia="zh-CN" w:bidi="ar-SA"/>
        </w:rPr>
        <w:t xml:space="preserve"> заседаниеяс вылын. Коми Республикаса Юралысь Владимир Уйба аттьӧаліс депутатъясӧс эскӧмысь да отсалӧмысь.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 xml:space="preserve">«Ӧні республика водзын сулалӧны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ыджыд</w:t>
      </w:r>
      <w:r>
        <w:rPr>
          <w:b w:val="false"/>
          <w:bCs w:val="false"/>
          <w:lang w:val="kpv-RU" w:eastAsia="zh-CN" w:bidi="ar-SA"/>
        </w:rPr>
        <w:t xml:space="preserve"> могъяс сьӧкыд геополитическӧй серпас, рытыввывсянь санкцияяс дырйи регионнымӧс социальнӧя да экономика боксянь сӧвмӧд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ӧмын</w:t>
      </w:r>
      <w:r>
        <w:rPr>
          <w:b w:val="false"/>
          <w:bCs w:val="false"/>
          <w:lang w:val="kpv-RU" w:eastAsia="zh-CN" w:bidi="ar-SA"/>
        </w:rPr>
        <w:t xml:space="preserve"> тӧдчана юалӧмъяс решитӧм серти. Эска, талун тіянӧн бӧрйӧм кандидатъясыс веськӧдасны ассьыныс став вын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сӧ</w:t>
      </w:r>
      <w:r>
        <w:rPr>
          <w:b w:val="false"/>
          <w:bCs w:val="false"/>
          <w:lang w:val="kpv-RU" w:eastAsia="zh-CN" w:bidi="ar-SA"/>
        </w:rPr>
        <w:t>, тӧдӧмлунсӧ, опытсӧ да вынйӧрсӧ тайӧ могъяс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сӧ решитӧм</w:t>
      </w:r>
      <w:r>
        <w:rPr>
          <w:b w:val="false"/>
          <w:bCs w:val="false"/>
          <w:lang w:val="kpv-RU" w:eastAsia="zh-CN" w:bidi="ar-SA"/>
        </w:rPr>
        <w:t xml:space="preserve"> вылӧ, республикал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ысь</w:t>
      </w:r>
      <w:r>
        <w:rPr>
          <w:b w:val="false"/>
          <w:bCs w:val="false"/>
          <w:lang w:val="kpv-RU" w:eastAsia="zh-CN" w:bidi="ar-SA"/>
        </w:rPr>
        <w:t xml:space="preserve"> да сылӧн олысьясл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ысь олӧмсӧ бурмӧдан удж вылӧ. Аттьӧ!», - тӧдчӧдіс регионӧн юрнуӧдысь.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>Регионса олысьяслы 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ӧшта ӧти тӧдчана юалӧм, мый видлалісны Каналан Сӧветлӧн заседание дырйи, - «202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2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во да 2023 да 2024 воясся планӧвӧй кадколаст вылӧ Коми Республикаса сьӧмкуд йылысь» оланпас балаӧ вежсьӧмъяс пыртӧм.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 xml:space="preserve">Стӧчмӧдӧмъяссӧ тӧд вылӧ босьтӧмӧн, сьӧмкудлӧн рӧскодыс 2022 воын содас 4,2 млрд шайт вылӧ </w:t>
      </w:r>
      <w:r>
        <w:rPr>
          <w:b w:val="false"/>
          <w:bCs w:val="false"/>
          <w:i/>
          <w:iCs/>
          <w:lang w:val="kpv-RU" w:eastAsia="zh-CN" w:bidi="ar-SA"/>
        </w:rPr>
        <w:t>(ӧтувъя мындаыс – 102,1 млрд шайт)</w:t>
      </w:r>
      <w:r>
        <w:rPr>
          <w:b w:val="false"/>
          <w:bCs w:val="false"/>
          <w:lang w:val="kpv-RU" w:eastAsia="zh-CN" w:bidi="ar-SA"/>
        </w:rPr>
        <w:t xml:space="preserve">, 2023 воын – 1,03 млрд шайт вылӧ </w:t>
      </w:r>
      <w:r>
        <w:rPr>
          <w:b w:val="false"/>
          <w:bCs w:val="false"/>
          <w:i/>
          <w:iCs/>
          <w:lang w:val="kpv-RU" w:eastAsia="zh-CN" w:bidi="ar-SA"/>
        </w:rPr>
        <w:t>(ӧтувъя мындаыс – 101,3 млрд шайт)</w:t>
      </w:r>
      <w:r>
        <w:rPr>
          <w:b w:val="false"/>
          <w:bCs w:val="false"/>
          <w:lang w:val="kpv-RU" w:eastAsia="zh-CN" w:bidi="ar-SA"/>
        </w:rPr>
        <w:t xml:space="preserve">, 2024 воын – 1,7 млрд шайт вылӧ </w:t>
      </w:r>
      <w:r>
        <w:rPr>
          <w:b w:val="false"/>
          <w:bCs w:val="false"/>
          <w:i/>
          <w:iCs/>
          <w:lang w:val="kpv-RU" w:eastAsia="zh-CN" w:bidi="ar-SA"/>
        </w:rPr>
        <w:t>(ӧтувъя мындаыс – 101,0 млрд шайт)</w:t>
      </w:r>
      <w:r>
        <w:rPr>
          <w:b w:val="false"/>
          <w:bCs w:val="false"/>
          <w:lang w:val="kpv-RU" w:eastAsia="zh-CN" w:bidi="ar-SA"/>
        </w:rPr>
        <w:t>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>Содтӧд рӧскодсӧ веськӧдасны тӧдчанаджык мытшӧдъяс разьӧм вылӧ: экономикалы, видз-му овмӧслы, транспорт юкӧнса организацияяслы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отсалӧм</w:t>
      </w:r>
      <w:r>
        <w:rPr>
          <w:b w:val="false"/>
          <w:bCs w:val="false"/>
          <w:lang w:val="kpv-RU" w:eastAsia="zh-CN" w:bidi="ar-SA"/>
        </w:rPr>
        <w:t>, челядьлы гожся шойччӧмсӧ котырт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ӧм</w:t>
      </w:r>
      <w:r>
        <w:rPr>
          <w:b w:val="false"/>
          <w:bCs w:val="false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льгота серти лекарствоясӧн могмӧдӧм, а сідзжӧ ӧнія геополитическӧй да макроэкономическӧй серпаскӧд йитӧдын эновтны позьтӧм юалӧмъяс ӧдйӧ решитӧм вылӧ резерв лӧсьӧдӧм серти.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 xml:space="preserve">Та дырйи рӧскод содӧм вӧсна сьӧмкудйыс оз вежсьы да лоӧ 10,9 млрд шайт 2022 воын, 9,8 млрд шайт – 2023 воын, 7,1 млрд шайт – 2024 воын.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>Ставыс тайӧ лоис позянаӧн экономика вочасӧн кыпӧдӧм да 2021 во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ын</w:t>
      </w:r>
      <w:r>
        <w:rPr>
          <w:b w:val="false"/>
          <w:bCs w:val="false"/>
          <w:lang w:val="kpv-RU" w:eastAsia="zh-CN" w:bidi="ar-SA"/>
        </w:rPr>
        <w:t xml:space="preserve"> сьӧмкудлысь вот да вотысь ӧтдор чӧжӧс да 2022 воын виччысяна вот да вотысь ӧтдор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воӧм чӧжӧс содтӧм отсӧгӧн. Вот базалысь медшӧр содӧмсӧ, кыдзи и водз, артмӧдӧ организацияяслӧн чуктӧс вылӧ вот (лидеръяс – мусир да биару, из шом да вӧр юкӧнъясын организацияяс).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 w:eastAsia="zh-CN" w:bidi="ar-SA"/>
        </w:rPr>
        <w:t>Республика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нскӧй</w:t>
      </w:r>
      <w:r>
        <w:rPr>
          <w:b w:val="false"/>
          <w:bCs w:val="false"/>
          <w:lang w:val="kpv-RU" w:eastAsia="zh-CN" w:bidi="ar-SA"/>
        </w:rPr>
        <w:t xml:space="preserve"> сьӧмкуд чӧжӧслӧн ӧтувъя мындаыс 2022 воын содас 4,2 млрд шайт вылӧ да лоас 91,2 млрд шайт, 2023 воын – 1,02 млрд шайт да лоас 91,5 млрд шайт, 2024 воын – 1,7 млрд шайт вылӧ да лоас 93,9 млрд шайт.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2291</w:t>
      </w:r>
      <w:r>
        <w:br w:type="page"/>
      </w:r>
    </w:p>
    <w:p>
      <w:pPr>
        <w:pStyle w:val="2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2022.04.21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Госсовет Коми согласовал кандидатуры, предложенные Владимиром Уйба на должности членов регионального Правительства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>Эльмира Ахмеева согласована на должность Первого заместителя Председателя Правительства Республики Коми, Марина Каракчиева – на должность представителя Республики Коми в Северо-Западном регионе Российской Федерации. Такое решение одобрили сегодня, 21 апреля, на заседании сессии депутаты Государственного Совета Республики Коми.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 xml:space="preserve">Днём ранее их кандидатуры были рассмотрены на заседаниях комитетов Госсовета Коми. Глава Республики Коми Владимир Уйба поблагодарил депутатов за доверие и поддержку.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 xml:space="preserve">«Сейчас перед республикой стоят серьёзные задачи по решению актуальных вопросов социально-экономического развития региона в условиях сложной геополитической ситуации, западных санкций. Уверен, поддержанные вами сегодня кандидаты направят все свои силы, знания, опыт и энергию на решение этих задач, на работу на благо республики и всех ее жителей. Спасибо!», - подчеркнул руководитель региона.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 xml:space="preserve">Ещё один ключевой для жителей региона вопрос, рассмотренный на заседании Государственного Совета, – внесение изменений в законопроект «О бюджете Республики Коми на 2022 год и плановый период 2023 и 2024 годов».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>С учётом корректировок, расходная часть бюджета вырастет в 2022 году на 4,2 млрд рублей (</w:t>
      </w:r>
      <w:r>
        <w:rPr>
          <w:b w:val="false"/>
          <w:bCs w:val="false"/>
          <w:i/>
          <w:lang w:val="kpv-RU"/>
        </w:rPr>
        <w:t>общий объём – 102,1 млрд рублей</w:t>
      </w:r>
      <w:r>
        <w:rPr>
          <w:b w:val="false"/>
          <w:bCs w:val="false"/>
          <w:lang w:val="kpv-RU"/>
        </w:rPr>
        <w:t>), в 2023 – на 1,03 млрд рублей (</w:t>
      </w:r>
      <w:r>
        <w:rPr>
          <w:b w:val="false"/>
          <w:bCs w:val="false"/>
          <w:i/>
          <w:lang w:val="kpv-RU"/>
        </w:rPr>
        <w:t>общий объём – 101,3 млрд рублей</w:t>
      </w:r>
      <w:r>
        <w:rPr>
          <w:b w:val="false"/>
          <w:bCs w:val="false"/>
          <w:lang w:val="kpv-RU"/>
        </w:rPr>
        <w:t>), на 2024 – 1,7 млрд рублей (</w:t>
      </w:r>
      <w:r>
        <w:rPr>
          <w:b w:val="false"/>
          <w:bCs w:val="false"/>
          <w:i/>
          <w:lang w:val="kpv-RU"/>
        </w:rPr>
        <w:t>общий объём – 101,0 млрд рублей</w:t>
      </w:r>
      <w:r>
        <w:rPr>
          <w:b w:val="false"/>
          <w:bCs w:val="false"/>
          <w:lang w:val="kpv-RU"/>
        </w:rPr>
        <w:t xml:space="preserve">).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 xml:space="preserve">Дополнительные расходы будут направлены на решение наиболее насущных вопросов: поддержку экономики, сельского хозяйства, организаций сферы транспорта, организацию детского летнего отдыха, реализацию льготного лекарственного обеспечения, а также создание резерва для оперативного решения наиболее неотложных вопросов в связи с текущей геополитической и макроэкономической ситуацией.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 xml:space="preserve">При этом рост расходов не повлечёт за собой увеличение дефицита бюджета. Он останется на прежнем уровне и составит 10,9 млрд рублей в 2022 году, 9,8 млрд рублей – в 2023 году, 7,1 млрд рублей – в 2024 году.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 xml:space="preserve">Всё это стало возможно благодаря постепенному восстановлению экономики и увеличению фактических налоговых и неналоговых доходов бюджета в 2021 году и ожидаемых налоговых и неналоговых поступлений в 2022 году. Основной прирост налоговой базы, как и прежде, составляет налог на прибыль организаций (лидеры – организации нефтегазовой, угольной и лесной отраслей).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lang w:val="kpv-RU"/>
        </w:rPr>
        <w:t>Соответственно, сумма доходов республиканского бюджета в 2022 году вырастет на 4,2 млрд рублей и составит 91,2 млрд рублей, в 2023 году – на 1,02 млрд рублей и составит 91,5 млрд рублей, в 2024 году – на 1,7 млрд рублей и составит 93,9 млрд рублей.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Application>LibreOffice/6.4.2.2$Linux_X86_64 LibreOffice_project/4e471d8c02c9c90f512f7f9ead8875b57fcb1ec3</Application>
  <Pages>4</Pages>
  <Words>711</Words>
  <Characters>4540</Characters>
  <CharactersWithSpaces>5259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2022-04-22T15:31:41Z</dcterms:modified>
  <cp:revision>1261</cp:revision>
  <dc:subject/>
  <dc:title> </dc:title>
</cp:coreProperties>
</file>