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 w:before="0" w:after="0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 w:before="0" w:after="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“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Коми Республикалӧн Каналан Сӧветса депутатлӧн статус йылысь” Коми Республикаса Оланпаслӧн 22 статьяӧ вежсьӧм пыртӧм йылысь</w:t>
      </w:r>
    </w:p>
    <w:p>
      <w:pPr>
        <w:pStyle w:val="Normal"/>
        <w:widowControl w:val="false"/>
        <w:spacing w:lineRule="auto" w:line="360" w:before="0" w:after="0"/>
        <w:jc w:val="center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1"/>
        <w:spacing w:lineRule="auto" w:line="360" w:before="0" w:after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 w:before="0" w:after="0"/>
        <w:jc w:val="both"/>
        <w:rPr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             2017 вося косму тӧлысь 20 лунӧ</w:t>
      </w:r>
    </w:p>
    <w:p>
      <w:pPr>
        <w:pStyle w:val="Style20"/>
        <w:spacing w:lineRule="auto" w:line="360" w:before="0" w:after="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Пыртны “Коми Республикалӧн Каналан Сӧветса депутатлӧн статус йылысь” Коми Республикаса Оланпаслӧн 22 статьяӧ (Коми Республикаса канму власьт органъяслӧн индӧд-тшӧктӧмъяс, 2007, 4 №, 4770 ст.; 7 №, 4911 ст.; 2008, 5 №, 205 ст.; 9 №, 426 ст.; 2009, 11 №, 171 ст.; 20 №, 351 ст.; 2011, 5 №, 87 ст.; 14 №, 346 ст.; 23 №, 606 ст.; 2012, 7 №, 172 ст.; 31 №, 694 ст.; 63 №, 1549 ст.; 2013, 5 №, 101 ст.; 17 №, 337 ст., 2014, 33 №, 678 ст.; 2015, 8 №, 89 ст.; 12 №, 153 ст.; 21 №, 271 ст.; 22 №, 303 ст.; 307 ст.; 26 №, 365 ст.; 2016, 4 №, 57 ст.) татшӧм вежсьӧм:</w:t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содтыны татшӧм сюрӧса 1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vertAlign w:val="superscript"/>
          <w:lang w:val="kpv-RU" w:eastAsia="zh-CN" w:bidi="ar-SA"/>
        </w:rPr>
        <w:t>1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 юкӧн:</w:t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“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1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vertAlign w:val="superscript"/>
          <w:lang w:val="kpv-RU" w:eastAsia="zh-CN" w:bidi="ar-SA"/>
        </w:rPr>
        <w:t>1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) Сэк, кор депутат, коді збыльмӧдӧ ассьыс уджмогъяссӧ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en-US" w:bidi="ar-SA"/>
        </w:rPr>
        <w:t xml:space="preserve">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шӧр уджысь орӧдчывтӧг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en-US" w:bidi="ar-SA"/>
        </w:rPr>
        <w:t xml:space="preserve">,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збыльмӧдӧ тайӧ Оланпаслӧн 21 статьяса 1 юкӧнлӧн 2 да 3 пунктъяслысь положениеяс, сылӧн эм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en-US" w:bidi="ar-SA"/>
        </w:rPr>
        <w:t xml:space="preserve">шӧр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уджаланін серти производственнӧй либӧ служебнӧй кывкутана могъяс олӧмӧ пӧртӧмысь мездан кадколаст вылӧ компенсация мынтӧм вылӧ инӧд. Компенсация мынтӧмлысь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мында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сӧ урчитӧны депутат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лӧн сьӧмӧн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видз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ан тӧлысся мында серти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,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en-US" w:bidi="ar-SA"/>
        </w:rPr>
        <w:t xml:space="preserve">коді пыр уджалӧ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en-US" w:bidi="ar-SA"/>
        </w:rPr>
        <w:t>уджсикас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en-US" w:bidi="ar-SA"/>
        </w:rPr>
        <w:t xml:space="preserve"> подув вылын, депутатӧс шӧр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уджаланін либӧ слу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житанін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серти производственнӧй либӧ служебнӧй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кывкутана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могъяс олӧмӧ пӧртӧмысь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мездан лун лыдлы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en-US" w:bidi="ar-SA"/>
        </w:rPr>
        <w:t xml:space="preserve"> пропорциональнӧя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. Индӧм компенсация мынтӧм 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>сетан</w:t>
      </w:r>
      <w:r>
        <w:rPr>
          <w:rFonts w:eastAsia="Calibri" w:cs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пӧрадоксӧ да условиеяссӧ урчитӧ Каналан Сӧветса Веськӧдлысь.”.</w:t>
      </w:r>
    </w:p>
    <w:p>
      <w:pPr>
        <w:pStyle w:val="Normal"/>
        <w:tabs>
          <w:tab w:val="left" w:pos="1134" w:leader="none"/>
        </w:tabs>
        <w:spacing w:lineRule="auto" w:line="360" w:before="0" w:after="0"/>
        <w:ind w:left="0" w:right="0" w:firstLine="851"/>
        <w:jc w:val="both"/>
        <w:rPr/>
      </w:pPr>
      <w:r>
        <w:rPr/>
      </w:r>
    </w:p>
    <w:p>
      <w:pPr>
        <w:pStyle w:val="Normal"/>
        <w:tabs>
          <w:tab w:val="left" w:pos="1134" w:leader="none"/>
        </w:tabs>
        <w:spacing w:lineRule="auto" w:line="360" w:before="0" w:after="0"/>
        <w:ind w:left="0" w:right="0" w:firstLine="851"/>
        <w:jc w:val="both"/>
        <w:rPr/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851"/>
        <w:jc w:val="both"/>
        <w:outlineLvl w:val="0"/>
        <w:rPr>
          <w:rFonts w:cs="Times New Roman"/>
          <w:b w:val="false"/>
          <w:bCs w:val="false"/>
          <w:sz w:val="28"/>
          <w:szCs w:val="28"/>
          <w:shd w:fill="FFFFFF" w:val="clear"/>
          <w:lang w:val="kpv-RU" w:eastAsia="zh-CN" w:bidi="hi-IN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 w:eastAsia="zh-CN" w:bidi="hi-IN"/>
        </w:rPr>
        <w:t>Тайӧ Оланпасыс вынсялӧ 2017 вося ода-кора тӧлысь 1 лунсянь.</w:t>
      </w:r>
    </w:p>
    <w:p>
      <w:pPr>
        <w:pStyle w:val="ListParagraph"/>
        <w:widowControl w:val="false"/>
        <w:tabs>
          <w:tab w:val="left" w:pos="142" w:leader="none"/>
          <w:tab w:val="left" w:pos="284" w:leader="none"/>
        </w:tabs>
        <w:spacing w:lineRule="auto" w:line="360" w:before="0" w:after="0"/>
        <w:ind w:left="0" w:righ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 xml:space="preserve">          </w:t>
        <w:tab/>
        <w:t xml:space="preserve">  </w:t>
        <w:tab/>
        <w:t xml:space="preserve">  С.А. Гапликов</w:t>
      </w:r>
    </w:p>
    <w:p>
      <w:pPr>
        <w:pStyle w:val="Normal"/>
        <w:tabs>
          <w:tab w:val="left" w:pos="9355" w:leader="none"/>
        </w:tabs>
        <w:spacing w:lineRule="auto" w:line="360" w:before="0" w:after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left" w:pos="9355" w:leader="none"/>
        </w:tabs>
        <w:spacing w:lineRule="auto" w:line="360" w:before="0" w:after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2017 вося косму тӧлысь 25 лун</w:t>
      </w:r>
    </w:p>
    <w:p>
      <w:pPr>
        <w:pStyle w:val="Normal"/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24-РЗ №</w:t>
      </w:r>
    </w:p>
    <w:sectPr>
      <w:type w:val="nextPage"/>
      <w:pgSz w:w="11906" w:h="16838"/>
      <w:pgMar w:left="1418" w:right="1413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b w:val="false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rPr>
      <w:b w:val="false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Style15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8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9" w:customStyle="1">
    <w:name w:val="Стиль пос"/>
    <w:rsid w:val="00d67a08"/>
    <w:basedOn w:val="Style17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20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1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2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3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pPr/>
    <w:rPr/>
  </w:style>
  <w:style w:type="paragraph" w:styleId="Style25">
    <w:name w:val="Заголовок таблицы"/>
    <w:basedOn w:val="Style24"/>
    <w:pPr/>
    <w:rPr/>
  </w:style>
  <w:style w:type="paragraph" w:styleId="ConsPlusNormal2">
    <w:name w:val="  ConsPlusNormal"/>
    <w:pPr>
      <w:widowControl/>
      <w:suppressAutoHyphens w:val="true"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Nonformat1">
    <w:name w:val="  ConsPlusNonformat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Title1">
    <w:name w:val="  ConsPlusTitle"/>
    <w:pPr>
      <w:widowControl/>
      <w:suppressAutoHyphens w:val="true"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Cell1">
    <w:name w:val="  ConsPlusCell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DocList">
    <w:name w:val="  ConsPlusDocList"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TitlePage">
    <w:name w:val="  ConsPlusTitlePage"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ru-RU" w:bidi="ar-SA"/>
    </w:rPr>
  </w:style>
  <w:style w:type="paragraph" w:styleId="ConsPlusJurTerm">
    <w:name w:val="  ConsPlusJurTerm"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sz w:val="26"/>
      <w:szCs w:val="24"/>
      <w:u w:val="none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80ED-A28E-4C06-9A51-045FE0A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2017-04-27T12:23:00Z</dcterms:created>
  <dc:creator>Центр АС</dc:creator>
  <dc:language>ru-RU</dc:language>
  <cp:lastModifiedBy>Пономарева Юлия Валерьевна</cp:lastModifiedBy>
  <cp:lastPrinted>2017-05-23T10:49:27Z</cp:lastPrinted>
  <dcterms:modified xsi:type="dcterms:W3CDTF">2016-12-20T14:21:00Z</dcterms:modified>
  <cp:revision>4</cp:revision>
  <dc:title>Закон Республики Коми от 06.10.2006 N 70-РЗ(ред. от 23.06.2015)"О некоторых вопросах в области занятости населения на территории Республики Коми"(принят ГС РК 21.09.2006)(с изм. и доп., вступающими в силу с 01.01.2016)</dc:title>
</cp:coreProperties>
</file>