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765175" cy="63309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>Государственное автономное учреждение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ИНН 1101485339 КПП 110101001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ОГРН 1021100528855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2"/>
                <w:rFonts w:cs="Times New Roman" w:ascii="Times New Roman" w:hAnsi="Times New Roman"/>
                <w:sz w:val="20"/>
                <w:szCs w:val="20"/>
              </w:rPr>
              <w:t>ОКПО 24944763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ОКТМО 87701000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.01.2024 № 01-29/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0"/>
                <w:szCs w:val="20"/>
                <w:highlight w:val="white"/>
                <w:u w:val="none"/>
                <w:lang w:val="kpv-RU"/>
              </w:rPr>
              <w:t>На № 080 от 29.01.2024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widowControl w:val="false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«Геоструктура»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Дреминой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numPr>
          <w:ilvl w:val="0"/>
          <w:numId w:val="2"/>
        </w:numPr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</w:t>
      </w:r>
      <w:hyperlink r:id="rId4" w:tgtFrame="_blank">
        <w:r>
          <w:rPr>
            <w:rFonts w:ascii="Times New Roman" w:hAnsi="Times New Roman"/>
            <w:sz w:val="24"/>
            <w:szCs w:val="24"/>
          </w:rPr>
          <w:t>а</w:t>
        </w:r>
      </w:hyperlink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cs="Times New Roman" w:ascii="Times New Roman" w:hAnsi="Times New Roman"/>
          <w:sz w:val="24"/>
          <w:szCs w:val="24"/>
        </w:rPr>
        <w:t>Екатерина Сергеевна</w:t>
      </w:r>
      <w:r>
        <w:rPr>
          <w:rFonts w:ascii="Times New Roman" w:hAnsi="Times New Roman"/>
          <w:sz w:val="24"/>
          <w:szCs w:val="24"/>
        </w:rPr>
        <w:t>!</w:t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населенных пунктов на коми языке.</w:t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bookmarkStart w:id="0" w:name="__DdeLink__57_13319950521"/>
      <w:r>
        <w:rPr>
          <w:rFonts w:ascii="Times New Roman" w:hAnsi="Times New Roman"/>
          <w:sz w:val="24"/>
          <w:szCs w:val="24"/>
        </w:rPr>
        <w:t xml:space="preserve">Информация о наименованиях населенных пунктов </w:t>
      </w:r>
      <w:bookmarkEnd w:id="0"/>
      <w:r>
        <w:rPr>
          <w:rFonts w:ascii="Times New Roman" w:hAnsi="Times New Roman"/>
          <w:sz w:val="24"/>
          <w:szCs w:val="24"/>
        </w:rPr>
        <w:t>в электронном виде направлена по адресу: geostructura_perm@mail.ru.</w:t>
      </w:r>
    </w:p>
    <w:p>
      <w:pPr>
        <w:pStyle w:val="Style16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062" w:type="dxa"/>
        <w:jc w:val="start"/>
        <w:tblInd w:w="1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12"/>
        <w:gridCol w:w="6449"/>
      </w:tblGrid>
      <w:tr>
        <w:trPr/>
        <w:tc>
          <w:tcPr>
            <w:tcW w:w="26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start="0" w:end="283" w:firstLine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Приложение:</w:t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start="0" w:end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PDF</w:t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start="0" w:end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start="0" w:end="0" w:firstLine="85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/>
      </w:pPr>
      <w:r>
        <w:rPr>
          <w:rFonts w:ascii="Times New Roman" w:hAnsi="Times New Roman"/>
          <w:b/>
          <w:bCs/>
          <w:sz w:val="24"/>
          <w:szCs w:val="24"/>
        </w:rPr>
        <w:t>Директор                                                                                                   Г.Ф. Хатанзейский</w:t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5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Пименова Мария Николаевна</w:t>
    </w:r>
  </w:p>
  <w:p>
    <w:pPr>
      <w:pStyle w:val="Style21"/>
      <w:bidi w:val="0"/>
      <w:spacing w:before="0" w:after="0"/>
      <w:ind w:star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bidi w:val="0"/>
      <w:spacing w:lineRule="auto" w:line="240"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2">
    <w:name w:val="Основной шрифт абзаца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Body Text Indent"/>
    <w:basedOn w:val="Normal"/>
    <w:pPr>
      <w:spacing w:before="0" w:after="120"/>
      <w:ind w:start="283" w:hanging="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535" w:leader="none"/>
        <w:tab w:val="right" w:pos="9071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paragraph" w:styleId="Style24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hyperlink" Target="https://www.rusprofile.ru/person/brevnov-vv-110111732432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LibreOffice/7.4.6.2$Windows_X86_64 LibreOffice_project/5b1f5509c2decdade7fda905e3e1429a67acd63d</Application>
  <AppVersion>15.0000</AppVersion>
  <Pages>1</Pages>
  <Words>116</Words>
  <Characters>834</Characters>
  <CharactersWithSpaces>1024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2024-01-30T10:36:54Z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