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start"/>
        <w:tblInd w:type="dxa" w:w="55"/>
        <w:tblBorders>
          <w:top w:val="none"/>
          <w:start w:val="none"/>
          <w:bottom w:val="none"/>
          <w:insideH w:val="none"/>
          <w:end w:val="none"/>
          <w:insideV w:val="none"/>
        </w:tblBorders>
        <w:tblCellMar>
          <w:top w:type="dxa" w:w="55"/>
          <w:start w:type="dxa" w:w="55"/>
          <w:bottom w:type="dxa" w:w="55"/>
          <w:end w:type="dxa" w:w="55"/>
        </w:tblCellMar>
      </w:tblPr>
      <w:tblGrid>
        <w:gridCol w:w="4818"/>
        <w:gridCol w:w="4827"/>
      </w:tblGrid>
      <w:tr>
        <w:trPr>
          <w:cantSplit w:val="false"/>
        </w:trPr>
        <w:tc>
          <w:tcPr>
            <w:tcW w:type="dxa" w:w="4818"/>
            <w:tcBorders>
              <w:top w:val="none"/>
              <w:start w:val="none"/>
              <w:bottom w:val="none"/>
              <w:end w:val="none"/>
            </w:tcBorders>
            <w:shd w:fill="FFFFFF" w:val="clear"/>
          </w:tcPr>
          <w:p>
            <w:pPr>
              <w:pStyle w:val="style0"/>
              <w:snapToGrid w:val="false"/>
              <w:jc w:val="center"/>
            </w:pPr>
            <w:r>
              <w:rPr>
                <w:iCs/>
                <w:sz w:val="18"/>
                <w:szCs w:val="18"/>
              </w:rPr>
              <w:t>Государственное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автономное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образовательное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учреждение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высшего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профессионального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образования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Республики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Коми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«КОМИ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РЕСПУБЛИКАНСКАЯ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АКАДЕМИЯ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ГОСУДАРСТВЕННОЙ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СЛУЖБЫ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УПРАВЛЕНИЯ»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(ГАОУ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ВПО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КРАГСиУ)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«КАНМУ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СЛУЖБАӦ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ВЕСЬКӦДЛЫНЫ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АКАДЕМИЯ»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вылыс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тшупӧда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уджсикасӧ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асшӧрлуна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канму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(КСдаВВКРА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ВТШУВ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АКУ)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Коммунистическая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д.11,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г.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Сыктывкар,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Коми,167982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Тел.: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24-22-18,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44-25-02;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факс: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44-51-84;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rFonts w:cs="Times New Roman" w:eastAsia="Times New Roman"/>
                <w:i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style15"/>
                  <w:rStyle w:val="style15"/>
                  <w:sz w:val="18"/>
                  <w:szCs w:val="18"/>
                </w:rPr>
                <w:t>academy@rkomi.ru</w:t>
              </w:r>
            </w:hyperlink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  <w:t>ОКПО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29665625,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ОГРН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1031100403784,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   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ИНН/КПП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1101483010/110101001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sz w:val="20"/>
                <w:szCs w:val="20"/>
              </w:rPr>
              <w:t>_________________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______</w:t>
            </w:r>
            <w:r>
              <w:rPr>
                <w:iCs/>
                <w:sz w:val="22"/>
                <w:szCs w:val="22"/>
              </w:rPr>
              <w:t>______</w:t>
            </w:r>
            <w:r>
              <w:rPr>
                <w:sz w:val="20"/>
                <w:szCs w:val="20"/>
              </w:rPr>
              <w:t>_____</w:t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         </w:t>
            </w:r>
            <w:r>
              <w:rPr>
                <w:iCs/>
                <w:sz w:val="22"/>
                <w:szCs w:val="22"/>
              </w:rPr>
              <w:t>На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№ </w:t>
            </w:r>
            <w:r>
              <w:rPr>
                <w:iCs/>
                <w:sz w:val="22"/>
                <w:szCs w:val="22"/>
              </w:rPr>
              <w:t>_________________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от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________</w:t>
            </w:r>
          </w:p>
        </w:tc>
        <w:tc>
          <w:tcPr>
            <w:tcW w:type="dxa" w:w="4827"/>
            <w:tcBorders>
              <w:top w:val="none"/>
              <w:start w:val="none"/>
              <w:bottom w:val="none"/>
              <w:end w:val="none"/>
            </w:tcBorders>
            <w:shd w:fill="FFFFFF" w:val="clear"/>
          </w:tcPr>
          <w:p>
            <w:pPr>
              <w:pStyle w:val="style21"/>
              <w:snapToGrid w:val="false"/>
              <w:jc w:val="center"/>
            </w:pPr>
            <w:r>
              <w:rPr/>
            </w:r>
          </w:p>
          <w:p>
            <w:pPr>
              <w:pStyle w:val="style21"/>
              <w:jc w:val="center"/>
            </w:pPr>
            <w:r>
              <w:rPr/>
            </w:r>
          </w:p>
          <w:p>
            <w:pPr>
              <w:pStyle w:val="style21"/>
              <w:jc w:val="center"/>
            </w:pPr>
            <w:r>
              <w:rPr/>
            </w:r>
          </w:p>
          <w:p>
            <w:pPr>
              <w:pStyle w:val="style21"/>
              <w:jc w:val="center"/>
            </w:pPr>
            <w:r>
              <w:rPr>
                <w:sz w:val="26"/>
                <w:szCs w:val="26"/>
              </w:rPr>
              <w:t>УФПС Республики Коми филиал ФГУП «Почта России»</w:t>
            </w:r>
          </w:p>
          <w:p>
            <w:pPr>
              <w:pStyle w:val="style21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>ул. Ленина, д. 60,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г. Сыктывкар, 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>167981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end="0" w:firstLine="709" w:start="0"/>
        <w:jc w:val="both"/>
      </w:pPr>
      <w:r>
        <w:rPr>
          <w:sz w:val="26"/>
          <w:szCs w:val="26"/>
        </w:rPr>
        <w:t>Бюро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официального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академии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службы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вам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текста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русского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язык:</w:t>
      </w:r>
    </w:p>
    <w:p>
      <w:pPr>
        <w:pStyle w:val="style0"/>
        <w:spacing w:line="360" w:lineRule="auto"/>
        <w:ind w:end="-22" w:hanging="0" w:start="0"/>
        <w:jc w:val="center"/>
      </w:pPr>
      <w:r>
        <w:rPr/>
      </w:r>
    </w:p>
    <w:tbl>
      <w:tblPr>
        <w:jc w:val="start"/>
        <w:tblInd w:type="dxa" w:w="55"/>
        <w:tblBorders>
          <w:top w:color="000000" w:space="0" w:sz="2" w:val="single"/>
          <w:start w:color="000000" w:space="0" w:sz="2" w:val="single"/>
          <w:bottom w:color="000000" w:space="0" w:sz="2" w:val="single"/>
          <w:insideH w:color="000000" w:space="0" w:sz="2" w:val="single"/>
          <w:end w:val="none"/>
          <w:insideV w:val="none"/>
        </w:tblBorders>
        <w:tblCellMar>
          <w:top w:type="dxa" w:w="55"/>
          <w:start w:type="dxa" w:w="54"/>
          <w:bottom w:type="dxa" w:w="55"/>
          <w:end w:type="dxa" w:w="55"/>
        </w:tblCellMar>
      </w:tblPr>
      <w:tblGrid>
        <w:gridCol w:w="4819"/>
        <w:gridCol w:w="4827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-площадь Привокзальная;</w:t>
            </w:r>
          </w:p>
        </w:tc>
        <w:tc>
          <w:tcPr>
            <w:tcW w:type="dxa" w:w="4827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-Вокзалберд изэрд;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 площадь Металлистов;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-Металлист изэрд;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 магазин;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-вузасянін;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-продуктовый магазин;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-сёян-юанӧн вузасянін;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-киоск;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-киоск;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-газеты;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-газет;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-журналы;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-журнал;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-конверты;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-конверт;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-канцелярские товары;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-канцелярия вузӧс;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-табачные изделия;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-табак вӧчас;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-бытовая химия;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-бытӧвӧй химия;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-продукты;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-сёян-юан;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start w:color="000000" w:space="0" w:sz="2" w:val="single"/>
              <w:bottom w:color="000000" w:space="0" w:sz="2" w:val="single"/>
              <w:end w:val="non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/>
              <w:t>-продукты питания;</w:t>
            </w:r>
          </w:p>
        </w:tc>
        <w:tc>
          <w:tcPr>
            <w:tcW w:type="dxa" w:w="4827"/>
            <w:tcBorders>
              <w:top w:val="non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star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-сёян;</w:t>
            </w:r>
          </w:p>
        </w:tc>
      </w:tr>
    </w:tbl>
    <w:p>
      <w:pPr>
        <w:pStyle w:val="style0"/>
        <w:spacing w:line="360" w:lineRule="auto"/>
        <w:ind w:end="-22" w:hanging="0" w:start="0"/>
        <w:jc w:val="center"/>
      </w:pPr>
      <w:r>
        <w:rPr/>
      </w:r>
    </w:p>
    <w:p>
      <w:pPr>
        <w:pStyle w:val="style0"/>
        <w:spacing w:line="360" w:lineRule="auto"/>
        <w:ind w:end="-22" w:hanging="0" w:start="0"/>
        <w:jc w:val="center"/>
      </w:pPr>
      <w:r>
        <w:rPr/>
      </w:r>
    </w:p>
    <w:p>
      <w:pPr>
        <w:pStyle w:val="style0"/>
        <w:spacing w:line="360" w:lineRule="auto"/>
        <w:ind w:end="-22" w:hanging="0" w:start="0"/>
        <w:jc w:val="center"/>
      </w:pPr>
      <w:r>
        <w:rPr/>
      </w:r>
    </w:p>
    <w:p>
      <w:pPr>
        <w:pStyle w:val="style0"/>
        <w:spacing w:line="360" w:lineRule="auto"/>
        <w:ind w:end="-22" w:hanging="0" w:start="0"/>
        <w:jc w:val="center"/>
      </w:pPr>
      <w:r>
        <w:rPr/>
      </w:r>
    </w:p>
    <w:p>
      <w:pPr>
        <w:pStyle w:val="style0"/>
        <w:spacing w:line="360" w:lineRule="auto"/>
        <w:ind w:end="-22" w:hanging="0" w:start="0"/>
        <w:jc w:val="center"/>
      </w:pPr>
      <w:r>
        <w:rPr/>
      </w:r>
    </w:p>
    <w:p>
      <w:pPr>
        <w:pStyle w:val="style0"/>
        <w:spacing w:line="360" w:lineRule="auto"/>
        <w:ind w:end="-22" w:hanging="0" w:start="0"/>
        <w:jc w:val="center"/>
      </w:pPr>
      <w:r>
        <w:rPr>
          <w:rFonts w:cs="Times New Roman" w:eastAsia="Times New Roman"/>
          <w:sz w:val="26"/>
          <w:szCs w:val="26"/>
        </w:rPr>
        <w:t>Р</w:t>
      </w:r>
      <w:r>
        <w:rPr>
          <w:sz w:val="26"/>
          <w:szCs w:val="26"/>
        </w:rPr>
        <w:t>ектор</w:t>
      </w:r>
      <w:r>
        <w:rPr>
          <w:rFonts w:cs="Times New Roman" w:eastAsia="Times New Roman"/>
          <w:sz w:val="26"/>
          <w:szCs w:val="26"/>
        </w:rPr>
        <w:t xml:space="preserve">                                                                                                Н.А. Нестерова</w:t>
      </w:r>
    </w:p>
    <w:p>
      <w:pPr>
        <w:pStyle w:val="style0"/>
        <w:spacing w:line="360" w:lineRule="auto"/>
        <w:ind w:end="0" w:firstLine="709" w:start="0"/>
        <w:jc w:val="both"/>
      </w:pPr>
      <w:r>
        <w:rPr>
          <w:sz w:val="20"/>
        </w:rPr>
      </w:r>
    </w:p>
    <w:p>
      <w:pPr>
        <w:pStyle w:val="style0"/>
        <w:spacing w:line="360" w:lineRule="auto"/>
        <w:ind w:end="0" w:firstLine="709" w:start="0"/>
        <w:jc w:val="both"/>
      </w:pPr>
      <w:r>
        <w:rPr>
          <w:sz w:val="20"/>
        </w:rPr>
      </w:r>
    </w:p>
    <w:p>
      <w:pPr>
        <w:pStyle w:val="style0"/>
        <w:spacing w:line="360" w:lineRule="auto"/>
        <w:ind w:end="0" w:firstLine="709" w:start="0"/>
        <w:jc w:val="both"/>
      </w:pPr>
      <w:r>
        <w:rPr>
          <w:sz w:val="20"/>
        </w:rPr>
      </w:r>
    </w:p>
    <w:p>
      <w:pPr>
        <w:pStyle w:val="style0"/>
        <w:spacing w:line="360" w:lineRule="auto"/>
        <w:ind w:end="0" w:firstLine="709" w:start="0"/>
        <w:jc w:val="both"/>
      </w:pPr>
      <w:r>
        <w:rPr>
          <w:sz w:val="20"/>
        </w:rPr>
      </w:r>
    </w:p>
    <w:p>
      <w:pPr>
        <w:pStyle w:val="style0"/>
        <w:spacing w:line="360" w:lineRule="auto"/>
        <w:ind w:end="0" w:firstLine="709" w:start="0"/>
        <w:jc w:val="both"/>
      </w:pPr>
      <w:r>
        <w:rPr>
          <w:sz w:val="20"/>
        </w:rPr>
      </w:r>
    </w:p>
    <w:p>
      <w:pPr>
        <w:pStyle w:val="style0"/>
        <w:spacing w:line="360" w:lineRule="auto"/>
        <w:ind w:end="0" w:firstLine="709" w:start="0"/>
        <w:jc w:val="both"/>
      </w:pPr>
      <w:r>
        <w:rPr>
          <w:sz w:val="20"/>
        </w:rPr>
      </w:r>
    </w:p>
    <w:p>
      <w:pPr>
        <w:pStyle w:val="style22"/>
        <w:spacing w:line="100" w:lineRule="atLeast"/>
        <w:ind w:end="0" w:firstLine="279" w:start="0"/>
        <w:jc w:val="both"/>
      </w:pPr>
      <w:r>
        <w:rPr>
          <w:sz w:val="26"/>
          <w:szCs w:val="26"/>
        </w:rPr>
        <w:t>Матвеева Любовь Дмитриевна</w:t>
      </w:r>
    </w:p>
    <w:p>
      <w:pPr>
        <w:pStyle w:val="style22"/>
        <w:spacing w:line="100" w:lineRule="atLeast"/>
        <w:ind w:end="0" w:firstLine="279" w:start="0"/>
        <w:jc w:val="both"/>
      </w:pPr>
      <w:hyperlink r:id="rId3">
        <w:r>
          <w:rPr>
            <w:rStyle w:val="style15"/>
            <w:rStyle w:val="style15"/>
            <w:sz w:val="26"/>
            <w:szCs w:val="26"/>
          </w:rPr>
          <w:t>perevod@komikyv.ru</w:t>
        </w:r>
      </w:hyperlink>
      <w:r>
        <w:rPr>
          <w:rStyle w:val="style15"/>
          <w:sz w:val="26"/>
          <w:szCs w:val="26"/>
        </w:rPr>
        <w:t>,</w:t>
      </w:r>
      <w:r>
        <w:rPr>
          <w:sz w:val="26"/>
          <w:szCs w:val="26"/>
        </w:rPr>
        <w:t>тел./факс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202-363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Lohit Devanagari" w:eastAsia="DejaVu Sans" w:hAnsi="Times New Roman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;Arial" w:cs="Lohit Devanagari" w:eastAsia="DejaVu Sans" w:hAnsi="Liberation Sans;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Основной текст с отступом"/>
    <w:basedOn w:val="style0"/>
    <w:next w:val="style22"/>
    <w:pPr>
      <w:spacing w:after="0" w:before="0"/>
      <w:ind w:end="0" w:firstLine="709" w:start="0"/>
      <w:contextualSpacing w:val="false"/>
    </w:pPr>
    <w:rPr>
      <w:sz w:val="28"/>
      <w:szCs w:val="20"/>
    </w:rPr>
  </w:style>
  <w:style w:styleId="style23" w:type="paragraph">
    <w:name w:val="Заголовок таблицы"/>
    <w:basedOn w:val="style21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e@komitex.ru" TargetMode="External"/><Relationship Id="rId3" Type="http://schemas.openxmlformats.org/officeDocument/2006/relationships/hyperlink" Target="mailto:perevod@komiky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2013-09-25T14:12:17.00Z</dcterms:created>
  <dc:creator>Lubov Matveeva</dc:creator>
  <cp:revision>0</cp:revision>
</cp:coreProperties>
</file>