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7" w:type="dxa"/>
        <w:jc w:val="left"/>
        <w:tblInd w:w="-78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65" w:type="dxa"/>
          <w:bottom w:w="0" w:type="dxa"/>
          <w:right w:w="73" w:type="dxa"/>
        </w:tblCellMar>
        <w:tblLook w:val="04a0" w:noVBand="1" w:noHBand="0" w:lastColumn="0" w:firstColumn="1" w:lastRow="0" w:firstRow="1"/>
      </w:tblPr>
      <w:tblGrid>
        <w:gridCol w:w="10207"/>
      </w:tblGrid>
      <w:tr>
        <w:trPr>
          <w:cantSplit w:val="true"/>
        </w:trPr>
        <w:tc>
          <w:tcPr>
            <w:tcW w:w="102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БЮЛЛЕТЕНЬ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для голосования по кандидатурам для последующего выдвижения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от Партии 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«ЕДИНАЯ РОССИЯ»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кандидатами  в депутаты Государственной Думы Федерального Собрания Российской  Федерации  восьмого  созыва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 помещениях участковых счетных комиссий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по Республике Коми - Сыктывкарский одномандатный избирательный округ № 18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30 мая 2021 года</w:t>
            </w:r>
          </w:p>
        </w:tc>
      </w:tr>
      <w:tr>
        <w:trPr>
          <w:cantSplit w:val="true"/>
        </w:trPr>
        <w:tc>
          <w:tcPr>
            <w:tcW w:w="102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«ЕДИНАЯ РОССИЯ»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 ютырсянь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водзӧ вылӧ вӧзйӧм могысь кандидатураяс серти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кӧкъямысӧдысь бӧръян Россия Федерацияса Федеральнӧй Собраниелӧн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Каналан Думаса депутатӧ кандидатъясӧн 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Коми Республикаын участковӧй арта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>сян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 комиссияяслӧн жыръясын - 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Сыктывкарса 18 №-а ӧти мандата бӧрйысян кытш - гӧлӧсуйтан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БЮЛЛЕТЕНЬ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2021 вося ода-кора тӧлысь 30 лун</w:t>
            </w:r>
          </w:p>
        </w:tc>
      </w:tr>
      <w:tr>
        <w:trPr>
          <w:cantSplit w:val="true"/>
        </w:trPr>
        <w:tc>
          <w:tcPr>
            <w:tcW w:w="102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РАЗЪЯСНЕНИЯ ПОРЯДКА ЗАПОЛНЕНИЯ БЮЛЛЕТЕНЯ</w:t>
            </w:r>
          </w:p>
          <w:p>
            <w:pPr>
              <w:pStyle w:val="Style15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Поставьте любой знак в квадрате напротив данных кандидата, в пользу которого сделан выбор. Голосование является рейтинговым. Каждый избиратель вправе отдать свой голос как за одного кандидата, так и за нескольких, вплоть до максимального числа кандидатов, включенных в бюллетень</w:t>
            </w:r>
          </w:p>
        </w:tc>
      </w:tr>
      <w:tr>
        <w:trPr>
          <w:cantSplit w:val="true"/>
        </w:trPr>
        <w:tc>
          <w:tcPr>
            <w:tcW w:w="102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Style15"/>
              <w:numPr>
                <w:ilvl w:val="8"/>
                <w:numId w:val="2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БӦРЙЫСЯН БЮЛЛЕТЕНЬӦ ПАСЙӦДЪЯС ВӦЧАННОГ</w:t>
            </w:r>
          </w:p>
          <w:p>
            <w:pPr>
              <w:pStyle w:val="Style15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Пуктӧй кӧть кутшӧм пас квадратӧ кандидатлӧн, код вӧсна Ті гӧлӧсуйтанныд,  мыччӧдъяслы паныд. Гӧлӧсуйтӧмыс лоӧ рейтингӧвӧйӧн. Быд бӧрйысьысь вермӧ сетны ассьыс гӧлӧссӧ кыдзи ӧти, сідзи и ӧткымын кандидат вӧсна, позьӧ бӧрйыны бюллетеньӧ пыртӧм став кандидатсӧ</w:t>
            </w:r>
          </w:p>
        </w:tc>
      </w:tr>
    </w:tbl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tbl>
      <w:tblPr>
        <w:tblW w:w="10207" w:type="dxa"/>
        <w:jc w:val="left"/>
        <w:tblInd w:w="-78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65" w:type="dxa"/>
          <w:bottom w:w="0" w:type="dxa"/>
          <w:right w:w="73" w:type="dxa"/>
        </w:tblCellMar>
        <w:tblLook w:val="04a0" w:noVBand="1" w:noHBand="0" w:lastColumn="0" w:firstColumn="1" w:lastRow="0" w:firstRow="1"/>
      </w:tblPr>
      <w:tblGrid>
        <w:gridCol w:w="10207"/>
      </w:tblGrid>
      <w:tr>
        <w:trPr>
          <w:cantSplit w:val="true"/>
        </w:trPr>
        <w:tc>
          <w:tcPr>
            <w:tcW w:w="102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БЮЛЛЕТЕНЬ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для голосования по кандидатурам для последующего выдвижения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от Партии 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 xml:space="preserve">«ЕДИНАЯ РОССИЯ» 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кандидатами  в депутаты Государственной Думы Федерального Собрания Российской  Федерации  восьмого  созыва 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 помещениях участковых счетных комиссий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по федеральному избирательному округу на территории Республики Коми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30 мая 2021 года</w:t>
            </w:r>
          </w:p>
        </w:tc>
      </w:tr>
      <w:tr>
        <w:trPr>
          <w:cantSplit w:val="true"/>
        </w:trPr>
        <w:tc>
          <w:tcPr>
            <w:tcW w:w="102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«ЕДИНАЯ РОССИЯ»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 ютырсянь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водзӧ вылӧ вӧзйӧм могысь кандидатураяс серти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кӧкъямысӧдысь бӧръян Россия Федерацияса Федеральнӧй Собраниелӧн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Каналан Думаса депутатӧ кандидатъясӧн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участковӧй арта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>сян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 комиссияяслӧн жыръясын 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Коми Республика мутасын федеральнӧй бӧрйысян кытшын гӧлӧсуйтан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БЮЛЛЕТЕНЬ</w:t>
            </w:r>
          </w:p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2021 вося ода-кора тӧлысь 30 лун</w:t>
            </w:r>
          </w:p>
        </w:tc>
      </w:tr>
      <w:tr>
        <w:trPr>
          <w:cantSplit w:val="true"/>
        </w:trPr>
        <w:tc>
          <w:tcPr>
            <w:tcW w:w="102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Style15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РАЗЪЯСНЕНИЯ ПОРЯДКА ЗАПОЛНЕНИЯ БЮЛЛЕТЕНЯ</w:t>
            </w:r>
          </w:p>
          <w:p>
            <w:pPr>
              <w:pStyle w:val="Style15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Поставьте любой знак в квадрате напротив данных кандидата, в пользу которого сделан выбор. Голосование является рейтинговым. Каждый избиратель вправе отдать свой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 голос как за одного кандидата, так и за нескольких, вплоть до максимального числа кандидатов, включенных в бюллетень</w:t>
            </w:r>
          </w:p>
        </w:tc>
      </w:tr>
      <w:tr>
        <w:trPr>
          <w:cantSplit w:val="true"/>
        </w:trPr>
        <w:tc>
          <w:tcPr>
            <w:tcW w:w="102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Style15"/>
              <w:numPr>
                <w:ilvl w:val="8"/>
                <w:numId w:val="2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БӦРЙЫСЯН БЮЛЛЕТЕНЬӦ ПАСЙӦДЪЯС ВӦЧАННОГ</w:t>
            </w:r>
          </w:p>
          <w:p>
            <w:pPr>
              <w:pStyle w:val="Style15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Пуктӧй кӧть кутшӧм пас квадратӧ кандидатлӧн, код вӧсна Ті гӧлӧсуйтанныд,  мыччӧдъяслы паныд. Гӧлӧсуйтӧмыс лоӧ рейтингӧвӧйӧн. Быд бӧрйысьысь вермӧ сетны ассьыс гӧлӧссӧ кыдзи ӧти, сідзи и ӧткымын кандидат вӧсна, позьӧ бӧрйыны бюллетеньӧ </w:t>
            </w:r>
            <w:r>
              <w:rPr>
                <w:rFonts w:eastAsia="Calibri" w:cs="Times New Roman" w:ascii="Times New Roman" w:hAnsi="Times New Roman" w:eastAsiaTheme="minorHAnsi"/>
                <w:color w:val="00000A"/>
                <w:kern w:val="0"/>
                <w:sz w:val="28"/>
                <w:szCs w:val="28"/>
                <w:lang w:val="kpv-RU" w:eastAsia="en-US" w:bidi="ar-SA"/>
              </w:rPr>
              <w:t>пыртӧм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 став кандидатсӧ</w:t>
            </w:r>
          </w:p>
        </w:tc>
      </w:tr>
    </w:tbl>
    <w:p>
      <w:pPr>
        <w:pStyle w:val="9"/>
        <w:numPr>
          <w:ilvl w:val="8"/>
          <w:numId w:val="2"/>
        </w:numPr>
        <w:spacing w:before="240" w:after="6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6"/>
          <w:szCs w:val="26"/>
          <w:lang w:val="kpv-RU"/>
        </w:rPr>
      </w:pPr>
      <w:r>
        <w:rPr>
          <w:rFonts w:eastAsia="Calibri" w:cs="Times New Roman" w:ascii="Times New Roman" w:hAnsi="Times New Roman"/>
          <w:b/>
          <w:i/>
          <w:iCs/>
          <w:sz w:val="26"/>
          <w:szCs w:val="26"/>
          <w:lang w:val="kpv-RU"/>
        </w:rPr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75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f6750"/>
    <w:rPr>
      <w:vertAlign w:val="superscript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f6750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cf675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/>
      <w:bCs/>
      <w:color w:val="00000A"/>
      <w:kern w:val="0"/>
      <w:sz w:val="24"/>
      <w:szCs w:val="24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LibreOffice/5.4.3.2$Linux_x86 LibreOffice_project/92a7159f7e4af62137622921e809f8546db437e5</Application>
  <Pages>2</Pages>
  <Words>321</Words>
  <Characters>2222</Characters>
  <CharactersWithSpaces>2523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2021-05-11T15:02:00Z</dcterms:created>
  <dc:creator>Д.В. Комаров</dc:creator>
  <dc:description/>
  <dc:language>ru-RU</dc:language>
  <cp:lastModifiedBy>Olga  Isakova</cp:lastModifiedBy>
  <cp:lastPrinted>2021-05-14T12:26:57Z</cp:lastPrinted>
  <dcterms:modified xsi:type="dcterms:W3CDTF">2021-05-14T13:14:47Z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